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4775" cy="82804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280" cy="82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15pt;height:65.1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/>
      </w:r>
    </w:p>
    <w:p>
      <w:pPr>
        <w:pStyle w:val="Normal"/>
        <w:tabs>
          <w:tab w:val="left" w:pos="4400" w:leader="none"/>
        </w:tabs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Às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h do dia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21 de fevereiro de 2019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reuniram-se no Município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Três Passos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tendo por local  o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Plenário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 da  Câmara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Municipal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 de  Vereadores,  sob  a  coordenação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da Comissão de Orçamento, Finanças e Infra-Estrutura Urbana e Rual,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os responsáveis pela realização da audiência pública de demonstração e avaliação das metas fiscais do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none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(terceiro)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quadrimestre de 201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8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 Dando  início  aos  trabalhos,  esclareceu-se, inicialmente, que, nos termos do art. 48 da Lei de Responsabilidade Fiscal,  o qual dispõe  sobre  as  audiências  públicas,  estas  teriam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Ainda foi informado aos presentes que, conforme o disposto no § 4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artigo 9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166 da Constituição Federal, ou equivalente nas Casas Legislativas estaduais  e  municipais.  Assim, ressaltou-se  que  a  Audiência  Pública  ora realizada destinava-se  à demonstração e avaliação do cumprimento das metas fiscais do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quadrimestre de 201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8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por parte do Executivo Municipal. Iniciando a demonstração, o Sr.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Lucas Neckel, Secretário Munic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pal de Finanças,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passou a apresentar as metas realizadas,  onde  foram  destacados  os  seguintes  resultados: analisando as Metas de Arrecadação apresentadas, constatou-se que a Receita Total Prevista para o período era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73.794.917,37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sendo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69.803.498,61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Receitas Correntes 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3.991.418,76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de Receitas de Capital. Já a receita realizada registrou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71.293.242,16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para as Receitas Correntes 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2.067.999,75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para as Receitas de Capital, que resultou numa arrecadação total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73.361.241,91.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Na confrontação  das Receitas Arrecadadas com as Despesas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Pagas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apuraram-se valores positivos,ou seja, enquanto as receitas do período registraram a cifra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73.361.241,91,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as despesas contabilizaram  a  soma  de 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65.007.632,38,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 proporcionando  um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uperavit de 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8.353.609,53.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Os dados do Resultado Primário registraram até o quadrimestre o valor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8.353.609,53,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enquanto  que  a  previsão  da  LDO e de acordo com a programação financeira,   apontou  um  montante  de 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500.000,00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ou seja, o valor apurado estaria 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7.853.609,53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acima da previsão. Ainda, com relação à apuração do Resultado Primário, destaca-se  que as Receitas Financeiras do período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somaram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 importância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5.908.452,08, e a Despesas Financeiras não registraram valores (conforme Anexo 6 da RREO).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O  Demonstrativo  do  Resultado  Nominal  apresentado  na  Audiência  registrou ao término do período a importância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4.538.235,02,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estando, portanto, acima  da  previsão    estabelecida    na    LDO    para  o    exercício,  no  montante  de 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0,00.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Confrontando a Dívida Fiscal Líquida Inicial no valor de -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8.293.031,95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com a Dívida Fiscal Líquida registrada no término do quadrimestre, na importância de -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12.428.412,79,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houve um decréscimo no confronto das dívidas  existentes  com  os  recursos  disponíveis. O demonstrativo da Dívida Pública Consolidada, nela incluídos os Restos a Pagar,  foi apresentado contendo um saldo inicial de -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8.293.031,95.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Com a movimentação do período, decorrente de inscrições e amortizações, o saldo final apresentou um montante de –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12.428.412,79,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evidenciando um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diminuição durante o período. No tocante  aos  índices  de  Saúde,  ficou  demonstrado  que  a  aplicação  foi  de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15,62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%, evidenciando que foi cumprido o artigo 198 da Constituição Federal, combinado com o disposto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artigo 77 do Ato das Disposições Constitucionais Transitórias - ADCT. Já em relação aos dispêndios  com educação,  estes  representaram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25,14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%  da  Receita  Resultante  de  Impostos,  o  que comprova  ter  sido  cumprido  o  Artigo  212  da  Constituição  Federal. Também foi demonstrada na Audiência a situa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ç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ão com relação aos gastos de pessoal. O Poder Executivo apresentou um dispêndio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46,09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 da Receita  Corrente  Líquida  do  Município,  comprovando,  dessa  forma, estar  cumprindo  o  limite estabelecido no Artigo 20, inciso III, alínea 'a', da Lei de Responsabilidade Fiscal. Já os gastos de pessoal do Poder Legislativo foram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1,6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%, da Receita Corrente Líquida do Município, comprovando o cumprimento do limite estabelecido no Artigo 20, inciso III, alínea 'b', da LRF. Assim, estando apresentados os quadros demonstrativos das Metas  Fiscais  e  não   havendo  questionamentos, o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membro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 da  Comissão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de Orçamento, Finanças e Infra-Estrutura Urbana e Rural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agradeceu a presença de todos e nada mais havendo a tratar encerrou a audiência, da qual se lavrou a presente Ata, que passa a ser assinada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pelos membros da Comissão de Orçamento, Finanças e Infra-Estrutura Urbana e Rural.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LibreOffice/5.4.7.2$Windows_X86_64 LibreOffice_project/c838ef25c16710f8838b1faec480ebba495259d0</Application>
  <Pages>2</Pages>
  <Words>797</Words>
  <Characters>4451</Characters>
  <CharactersWithSpaces>5438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2019-02-25T12:34:01Z</dcterms:modified>
  <cp:revision>13</cp:revision>
  <dc:subject/>
  <dc:title/>
</cp:coreProperties>
</file>