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6045" cy="82931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5360" cy="82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25pt;height:65.2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left" w:pos="4400" w:leader="none"/>
        </w:tabs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 xml:space="preserve">PARECER DA COMISSÃO DE ORÇAMENTO E FINANÇAS SOBRE A DEMONSTRAÇÃO E AVALIAÇÃO DAS METAS FISCAIS DO </w:t>
      </w:r>
      <w:r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QUADRIMESTRE DE 201</w:t>
      </w:r>
      <w:r>
        <w:rPr>
          <w:rFonts w:ascii="Arial" w:hAnsi="Arial"/>
          <w:b/>
          <w:sz w:val="24"/>
          <w:szCs w:val="24"/>
        </w:rPr>
        <w:t>9</w:t>
      </w:r>
    </w:p>
    <w:p>
      <w:pPr>
        <w:pStyle w:val="Normal"/>
        <w:bidi w:val="0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W w:w="915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97"/>
        <w:gridCol w:w="7652"/>
      </w:tblGrid>
      <w:tr>
        <w:trPr/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Parecer n</w:t>
            </w:r>
            <w:r>
              <w:rPr>
                <w:rFonts w:ascii="Arial" w:hAnsi="Arial"/>
                <w:b/>
                <w:i/>
                <w:iCs/>
                <w:strike/>
                <w:sz w:val="24"/>
                <w:szCs w:val="24"/>
              </w:rPr>
              <w:t>º</w:t>
            </w:r>
          </w:p>
        </w:tc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0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2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/2019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Data:</w:t>
            </w:r>
          </w:p>
        </w:tc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2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3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-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-2019</w:t>
            </w:r>
          </w:p>
        </w:tc>
      </w:tr>
    </w:tbl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RELATÓRIO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>I.</w:t>
        <w:tab/>
        <w:t>Trata, a presente matéria, de análise sobre o cumprimento das metas fiscais fixadas na Lei de Diretrizes do Município de Três Passos,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</w:t>
      </w:r>
      <w:r>
        <w:rPr>
          <w:rFonts w:ascii="Arial" w:hAnsi="Arial"/>
          <w:sz w:val="24"/>
          <w:szCs w:val="24"/>
        </w:rPr>
        <w:t>370/2018</w:t>
      </w:r>
      <w:r>
        <w:rPr>
          <w:rFonts w:ascii="Arial" w:hAnsi="Arial"/>
          <w:sz w:val="24"/>
          <w:szCs w:val="24"/>
        </w:rPr>
        <w:t>, nos termos da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art. 59.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Comissão de Orçamento e Finanças passa a analisar a formalidade e a materialidade da apresentação e avaliação das metas fiscais.</w:t>
      </w:r>
    </w:p>
    <w:p>
      <w:pPr>
        <w:pStyle w:val="Normal"/>
        <w:bidi w:val="0"/>
        <w:spacing w:lineRule="auto" w:line="240"/>
        <w:ind w:left="708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</w:t>
      </w:r>
    </w:p>
    <w:p>
      <w:pPr>
        <w:pStyle w:val="Normal"/>
        <w:bidi w:val="0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 xml:space="preserve">II. </w:t>
        <w:tab/>
        <w:t>Quanto à forma, verifica-se que o Poder Executivo se fez representar dentro do prazo previsto na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, para o 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do exercício financeiro de 201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, sendo realizada a audiência na data de 2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-2019 conforme ata registrada sob o n</w:t>
      </w:r>
      <w:r>
        <w:rPr>
          <w:rFonts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/19, bem como foram obedecidas as normas regimentais para a realização da audiência prevista na Resolução n</w:t>
      </w:r>
      <w:r>
        <w:rPr>
          <w:rFonts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ascii="Arial" w:hAnsi="Arial"/>
          <w:sz w:val="24"/>
          <w:szCs w:val="24"/>
        </w:rPr>
        <w:t xml:space="preserve"> 3/2006.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sz w:val="24"/>
          <w:szCs w:val="24"/>
        </w:rPr>
        <w:t xml:space="preserve">III.    O Secretário Municipal de Finanças explicou que o </w:t>
      </w:r>
      <w:r>
        <w:rPr>
          <w:rFonts w:ascii="Arial" w:hAnsi="Arial"/>
          <w:sz w:val="24"/>
          <w:szCs w:val="24"/>
          <w:u w:val="single"/>
        </w:rPr>
        <w:t>Resultado Primário</w:t>
      </w:r>
      <w:r>
        <w:rPr>
          <w:rFonts w:ascii="Arial" w:hAnsi="Arial"/>
          <w:sz w:val="24"/>
          <w:szCs w:val="24"/>
        </w:rPr>
        <w:t xml:space="preserve"> até o </w:t>
      </w:r>
      <w:r>
        <w:rPr>
          <w:rFonts w:ascii="Arial" w:hAnsi="Arial"/>
          <w:sz w:val="24"/>
          <w:szCs w:val="24"/>
        </w:rPr>
        <w:t>primeiro</w:t>
      </w:r>
      <w:r>
        <w:rPr>
          <w:rFonts w:ascii="Arial" w:hAnsi="Arial"/>
          <w:sz w:val="24"/>
          <w:szCs w:val="24"/>
        </w:rPr>
        <w:t xml:space="preserve"> quadrimestre de 201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 xml:space="preserve">, registrou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valor de R$ 4.092.183,70, enquanto que a previsão da LDO e de acordo com a programação fnanceira, apontou um montante de R$ 0,00, ou seja, o valor apurado estaria R$ 4.092.183,70 acima da previsão. Ainda, com relação à apuração do Resultado Primário, destaca-se que as Receitas Financeiras do período, na importância de R$ 202.792,44, e as Despesas Financeiras não registraram valores (conforme Anexo 6 da RREO)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IV.      </w:t>
      </w:r>
      <w:r>
        <w:rPr>
          <w:rFonts w:cs="Arial" w:ascii="Arial" w:hAnsi="Arial"/>
          <w:sz w:val="24"/>
          <w:szCs w:val="24"/>
        </w:rPr>
        <w:t xml:space="preserve">Com relação ao </w:t>
      </w:r>
      <w:r>
        <w:rPr>
          <w:rFonts w:cs="Arial" w:ascii="Arial" w:hAnsi="Arial"/>
          <w:sz w:val="24"/>
          <w:szCs w:val="24"/>
          <w:u w:val="single"/>
        </w:rPr>
        <w:t>Resultado Nominal</w:t>
      </w:r>
      <w:r>
        <w:rPr>
          <w:rFonts w:cs="Arial" w:ascii="Arial" w:hAnsi="Arial"/>
          <w:sz w:val="24"/>
          <w:szCs w:val="24"/>
        </w:rPr>
        <w:t xml:space="preserve">, que representa a análise da dívida pública, no 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quadrimestre de 201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>, foi registrado ao término do período a importância de R$ 1.348.832,14, estando, portanto, acima da previsão estabelecida na LDO para o exercício, no montante de R$ 0,00. Confrontando a Dívida Fiscal Líquida Inicial no valor de - R$ 12.406.626,75 com a Dívida Fiscal Líquida registrada no término do quadrimestre, na importância de – R$ 13.463.752,30, houve um decréscimo no confronto das dívidas existentes com os recursos disponíveis. O demonstrativo da Dívida Pública Consolidada, nela incluídos os Restos a Pagar, foi apresentado contendo um saldo inicial de R$ - 12.406.626,75. Com a movimentação do período, decorrente de inscrições e amortizações, o saldo fnal apresentou um montante de - R$ 13.463.752,30, evidenciando um diminuição durante o período</w:t>
      </w:r>
    </w:p>
    <w:p>
      <w:pPr>
        <w:pStyle w:val="Normal"/>
        <w:bidi w:val="0"/>
        <w:spacing w:lineRule="auto" w:line="24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>
          <w:rFonts w:cs="Arial" w:ascii="Arial" w:hAnsi="Arial"/>
          <w:bCs/>
          <w:sz w:val="24"/>
          <w:szCs w:val="24"/>
        </w:rPr>
        <w:t xml:space="preserve">          </w:t>
      </w:r>
      <w:r>
        <w:rPr>
          <w:rFonts w:cs="Arial" w:ascii="Arial" w:hAnsi="Arial"/>
          <w:sz w:val="24"/>
          <w:szCs w:val="24"/>
        </w:rPr>
        <w:t xml:space="preserve">Por outro lado, os resultados apresentados permitem concluir que a meta fixada para os Resultados Primário e Nominal foram superadas e dentro do orçado; que as despesas com pessoal encontram-se dentro dos limites legais; que as despesas com MDE e ASPS encontram-se </w:t>
      </w:r>
      <w:r>
        <w:rPr>
          <w:rFonts w:cs="Arial" w:ascii="Arial" w:hAnsi="Arial"/>
          <w:sz w:val="24"/>
          <w:szCs w:val="24"/>
        </w:rPr>
        <w:t>abaixo</w:t>
      </w:r>
      <w:r>
        <w:rPr>
          <w:rFonts w:cs="Arial" w:ascii="Arial" w:hAnsi="Arial"/>
          <w:sz w:val="24"/>
          <w:szCs w:val="24"/>
        </w:rPr>
        <w:t xml:space="preserve"> do mínimo constitucionalmente estabelecido, </w:t>
      </w:r>
      <w:r>
        <w:rPr>
          <w:rFonts w:cs="Arial" w:ascii="Arial" w:hAnsi="Arial"/>
          <w:sz w:val="24"/>
          <w:szCs w:val="24"/>
        </w:rPr>
        <w:t>porém até o último quadrimestre do exercício financeiro de 2019 este limite será atingido.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Ficou  demonstrado, assim, que se está atingindo as metas fiscais estabelecidas, bem como o atendimento dos requisitos da Lei de Responsabilidade Fiscal.</w:t>
      </w:r>
    </w:p>
    <w:p>
      <w:pPr>
        <w:pStyle w:val="Corpodetexto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bidi w:val="0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V -    Pelos fundamentos declinados neste Parecer, esta Relatoria opina pela 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dequação </w:t>
      </w:r>
      <w:r>
        <w:rPr>
          <w:rFonts w:ascii="Arial" w:hAnsi="Arial"/>
          <w:bCs/>
          <w:sz w:val="24"/>
          <w:szCs w:val="24"/>
        </w:rPr>
        <w:t xml:space="preserve">do cumprimento das metas fiscais no </w:t>
      </w:r>
      <w:r>
        <w:rPr>
          <w:rFonts w:ascii="Arial" w:hAnsi="Arial"/>
          <w:bCs/>
          <w:sz w:val="24"/>
          <w:szCs w:val="24"/>
        </w:rPr>
        <w:t>1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quadrimestre de 201</w:t>
      </w:r>
      <w:r>
        <w:rPr>
          <w:rFonts w:ascii="Arial" w:hAnsi="Arial"/>
          <w:bCs/>
          <w:sz w:val="24"/>
          <w:szCs w:val="24"/>
        </w:rPr>
        <w:t>9</w:t>
      </w:r>
      <w:r>
        <w:rPr>
          <w:rFonts w:ascii="Arial" w:hAnsi="Arial"/>
          <w:bCs/>
          <w:sz w:val="24"/>
          <w:szCs w:val="24"/>
        </w:rPr>
        <w:t>, em relação aos resultados primário e nominal.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VI.    Segue o presente à Mesa Diretora da Casa para as providências necessárias, nos termos do art. 59 da LC 101/2000.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 xml:space="preserve">Ver. Ido </w:t>
      </w:r>
      <w:r>
        <w:rPr>
          <w:rFonts w:ascii="Arial" w:hAnsi="Arial"/>
          <w:sz w:val="24"/>
          <w:szCs w:val="24"/>
        </w:rPr>
        <w:t>V.</w:t>
      </w:r>
      <w:r>
        <w:rPr>
          <w:rFonts w:ascii="Arial" w:hAnsi="Arial"/>
          <w:sz w:val="24"/>
          <w:szCs w:val="24"/>
        </w:rPr>
        <w:t xml:space="preserve"> Rhoden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 xml:space="preserve">Vice-Presidente </w:t>
      </w:r>
      <w:r>
        <w:rPr>
          <w:rFonts w:ascii="Arial" w:hAnsi="Arial"/>
          <w:sz w:val="24"/>
          <w:szCs w:val="24"/>
        </w:rPr>
        <w:t>da COF</w:t>
      </w:r>
    </w:p>
    <w:p>
      <w:pPr>
        <w:pStyle w:val="Normal"/>
        <w:bidi w:val="0"/>
        <w:spacing w:lineRule="auto" w:line="240" w:before="0" w:after="0"/>
        <w:ind w:lef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Ver. Arlei Tomazoni</w:t>
      </w:r>
    </w:p>
    <w:p>
      <w:pPr>
        <w:pStyle w:val="Normal"/>
        <w:tabs>
          <w:tab w:val="left" w:pos="4400" w:leader="none"/>
        </w:tabs>
        <w:bidi w:val="0"/>
        <w:spacing w:lineRule="auto" w:line="240" w:before="0" w:after="0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Membro da COF</w:t>
      </w:r>
    </w:p>
    <w:p>
      <w:pPr>
        <w:pStyle w:val="Normal"/>
        <w:tabs>
          <w:tab w:val="left" w:pos="4400" w:leader="none"/>
        </w:tabs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4400" w:leader="none"/>
        </w:tabs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4400" w:leader="none"/>
        </w:tabs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4400" w:leader="none"/>
        </w:tabs>
        <w:bidi w:val="0"/>
        <w:spacing w:lineRule="auto" w:line="240" w:before="0" w:after="0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Ver. Willian Heineck</w:t>
      </w:r>
    </w:p>
    <w:p>
      <w:pPr>
        <w:pStyle w:val="Normal"/>
        <w:tabs>
          <w:tab w:val="left" w:pos="4400" w:leader="none"/>
        </w:tabs>
        <w:bidi w:val="0"/>
        <w:spacing w:lineRule="auto" w:line="240" w:before="0" w:after="0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Membro suplente da COF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left="0" w:right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LibreOffice/5.4.7.2$Windows_X86_64 LibreOffice_project/c838ef25c16710f8838b1faec480ebba495259d0</Application>
  <Pages>2</Pages>
  <Words>552</Words>
  <Characters>2924</Characters>
  <CharactersWithSpaces>3487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2019-05-30T10:22:27Z</dcterms:modified>
  <cp:revision>24</cp:revision>
  <dc:subject/>
  <dc:title/>
</cp:coreProperties>
</file>