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1144" w:rsidRDefault="00A31144" w:rsidP="00A31144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1942569</wp:posOffset>
            </wp:positionH>
            <wp:positionV relativeFrom="paragraph">
              <wp:posOffset>578</wp:posOffset>
            </wp:positionV>
            <wp:extent cx="887095" cy="1083310"/>
            <wp:effectExtent l="0" t="0" r="8255" b="2540"/>
            <wp:wrapSquare wrapText="largest"/>
            <wp:docPr id="3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31144" w:rsidRDefault="00A31144" w:rsidP="00A31144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A31144" w:rsidRDefault="00A31144" w:rsidP="00A31144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A31144" w:rsidRDefault="00A31144" w:rsidP="00A31144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161811</wp:posOffset>
                </wp:positionH>
                <wp:positionV relativeFrom="paragraph">
                  <wp:posOffset>224799</wp:posOffset>
                </wp:positionV>
                <wp:extent cx="4326341" cy="831215"/>
                <wp:effectExtent l="0" t="0" r="0" b="6985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341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37D06" w:rsidRDefault="00265C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137D06" w:rsidRDefault="00265CA9">
                            <w:pPr>
                              <w:pBdr>
                                <w:bottom w:val="single" w:sz="12" w:space="1" w:color="000001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137D06" w:rsidRDefault="00265CA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 w:rsidR="00137D06" w:rsidRDefault="00265CA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wrap="square" lIns="97920" tIns="52200" rIns="97920" bIns="522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Quadro1" o:spid="_x0000_s1026" style="position:absolute;left:0;text-align:left;margin-left:12.75pt;margin-top:17.7pt;width:340.65pt;height:65.45pt;z-index:3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" stroked="f">
                <v:textbox inset="2.72mm,1.45mm,2.72mm,1.45mm">
                  <w:txbxContent>
                    <w:p w:rsidR="00137D06" w:rsidRDefault="00265CA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:rsidR="00137D06" w:rsidRDefault="00265CA9">
                      <w:pPr>
                        <w:pBdr>
                          <w:bottom w:val="single" w:sz="12" w:space="1" w:color="000001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137D06" w:rsidRDefault="00265CA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 w:rsidR="00137D06" w:rsidRDefault="00265CA9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 w:rsidR="00137D06" w:rsidRDefault="00137D06" w:rsidP="00A31144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137D06" w:rsidRDefault="00137D06" w:rsidP="00A31144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137D06" w:rsidRDefault="00265CA9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1144" w:rsidRDefault="00A31144">
      <w:pPr>
        <w:tabs>
          <w:tab w:val="left" w:pos="4400"/>
        </w:tabs>
        <w:rPr>
          <w:rFonts w:ascii="Arial" w:hAnsi="Arial" w:cs="Arial"/>
          <w:sz w:val="24"/>
          <w:szCs w:val="24"/>
        </w:rPr>
      </w:pPr>
    </w:p>
    <w:p w:rsidR="00A31144" w:rsidRDefault="00A31144">
      <w:pPr>
        <w:tabs>
          <w:tab w:val="left" w:pos="4400"/>
        </w:tabs>
      </w:pPr>
    </w:p>
    <w:p w:rsidR="00137D06" w:rsidRDefault="003540A2" w:rsidP="00920B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</w:t>
      </w:r>
      <w:r w:rsidR="00A31144">
        <w:rPr>
          <w:rFonts w:ascii="Arial" w:hAnsi="Arial" w:cs="Arial"/>
          <w:sz w:val="24"/>
          <w:szCs w:val="24"/>
          <w:lang w:val="en-US"/>
        </w:rPr>
        <w:t>17 horas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do dia 2</w:t>
      </w:r>
      <w:r w:rsidR="00A31144">
        <w:rPr>
          <w:rFonts w:ascii="Arial" w:hAnsi="Arial" w:cs="Arial"/>
          <w:sz w:val="24"/>
          <w:szCs w:val="24"/>
          <w:lang w:val="en-US"/>
        </w:rPr>
        <w:t>1 de maio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de 2020, reuniram-se no Município de Três Passos, tendo por local o Plenário  da  Câmara Municipal de Vereadores, sob a  coordenação da Comissão de Orçamento, Finanças e Infra-Estrutura Urbana e Rural, os responsáveis pela realização da audiência pública de demonstração e </w:t>
      </w:r>
      <w:r w:rsidR="00A31144">
        <w:rPr>
          <w:rFonts w:ascii="Arial" w:hAnsi="Arial" w:cs="Arial"/>
          <w:sz w:val="24"/>
          <w:szCs w:val="24"/>
          <w:lang w:val="en-US"/>
        </w:rPr>
        <w:t>avaliação das metas fiscais do 1</w:t>
      </w:r>
      <w:r w:rsidR="00265CA9">
        <w:rPr>
          <w:rFonts w:ascii="Arial" w:hAnsi="Arial" w:cs="Arial"/>
          <w:strike/>
          <w:sz w:val="24"/>
          <w:szCs w:val="24"/>
          <w:lang w:val="en-US"/>
        </w:rPr>
        <w:t>º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(</w:t>
      </w:r>
      <w:r w:rsidR="00A31144">
        <w:rPr>
          <w:rFonts w:ascii="Arial" w:hAnsi="Arial" w:cs="Arial"/>
          <w:sz w:val="24"/>
          <w:szCs w:val="24"/>
          <w:lang w:val="en-US"/>
        </w:rPr>
        <w:t>primeiro</w:t>
      </w:r>
      <w:r w:rsidR="00265CA9">
        <w:rPr>
          <w:rFonts w:ascii="Arial" w:hAnsi="Arial" w:cs="Arial"/>
          <w:sz w:val="24"/>
          <w:szCs w:val="24"/>
          <w:lang w:val="en-US"/>
        </w:rPr>
        <w:t>) quadrimestre de 20</w:t>
      </w:r>
      <w:r w:rsidR="00A31144">
        <w:rPr>
          <w:rFonts w:ascii="Arial" w:hAnsi="Arial" w:cs="Arial"/>
          <w:sz w:val="24"/>
          <w:szCs w:val="24"/>
          <w:lang w:val="en-US"/>
        </w:rPr>
        <w:t>20</w:t>
      </w:r>
      <w:r w:rsidR="00265CA9">
        <w:rPr>
          <w:rFonts w:ascii="Arial" w:hAnsi="Arial" w:cs="Arial"/>
          <w:sz w:val="24"/>
          <w:szCs w:val="24"/>
          <w:lang w:val="en-US"/>
        </w:rPr>
        <w:t>. Dando início  aos  trabalhos,  esclareceu-se, inicialmente, que, nos termos do art. 48 da Lei de Responsabilidade Fiscal, 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Ainda foi informado aos presentes que, conforme o disposto no § 4</w:t>
      </w:r>
      <w:r w:rsidR="00265CA9">
        <w:rPr>
          <w:rFonts w:ascii="Arial" w:hAnsi="Arial" w:cs="Arial"/>
          <w:strike/>
          <w:sz w:val="24"/>
          <w:szCs w:val="24"/>
          <w:lang w:val="en-US"/>
        </w:rPr>
        <w:t>º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do artigo 9</w:t>
      </w:r>
      <w:r w:rsidR="00265CA9">
        <w:rPr>
          <w:rFonts w:ascii="Arial" w:hAnsi="Arial" w:cs="Arial"/>
          <w:strike/>
          <w:sz w:val="24"/>
          <w:szCs w:val="24"/>
          <w:lang w:val="en-US"/>
        </w:rPr>
        <w:t>º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 w:rsidR="00265CA9">
        <w:rPr>
          <w:rFonts w:ascii="Arial" w:hAnsi="Arial" w:cs="Arial"/>
          <w:strike/>
          <w:sz w:val="24"/>
          <w:szCs w:val="24"/>
          <w:lang w:val="en-US"/>
        </w:rPr>
        <w:t>º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do art. 166 da Constituição Federal, ou equivalente nas Casas Legislativas estaduais  e  municipais.  Assim, ressaltou-se que  a  Audiência  Pública  ora realizada destinava-se  à demonstração e avaliação do cumprimento das metas fiscais do </w:t>
      </w:r>
      <w:r w:rsidR="00A31144">
        <w:rPr>
          <w:rFonts w:ascii="Arial" w:hAnsi="Arial" w:cs="Arial"/>
          <w:sz w:val="24"/>
          <w:szCs w:val="24"/>
          <w:lang w:val="en-US"/>
        </w:rPr>
        <w:t>1</w:t>
      </w:r>
      <w:r w:rsidR="00265CA9">
        <w:rPr>
          <w:rFonts w:ascii="Arial" w:hAnsi="Arial" w:cs="Arial"/>
          <w:strike/>
          <w:sz w:val="24"/>
          <w:szCs w:val="24"/>
          <w:lang w:val="en-US"/>
        </w:rPr>
        <w:t>º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quadrimestre de 20</w:t>
      </w:r>
      <w:r w:rsidR="00A31144">
        <w:rPr>
          <w:rFonts w:ascii="Arial" w:hAnsi="Arial" w:cs="Arial"/>
          <w:sz w:val="24"/>
          <w:szCs w:val="24"/>
          <w:lang w:val="en-US"/>
        </w:rPr>
        <w:t>20</w:t>
      </w:r>
      <w:r w:rsidR="00265CA9">
        <w:rPr>
          <w:rFonts w:ascii="Arial" w:hAnsi="Arial" w:cs="Arial"/>
          <w:sz w:val="24"/>
          <w:szCs w:val="24"/>
          <w:lang w:val="en-US"/>
        </w:rPr>
        <w:t xml:space="preserve">, por parte do Executivo Municipal. Iniciando a demonstração, </w:t>
      </w:r>
      <w:r w:rsidR="00A31144">
        <w:rPr>
          <w:rFonts w:ascii="Arial" w:hAnsi="Arial" w:cs="Arial"/>
          <w:sz w:val="24"/>
          <w:szCs w:val="24"/>
          <w:lang w:val="en-US"/>
        </w:rPr>
        <w:t>a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Sr</w:t>
      </w:r>
      <w:r w:rsidR="00A31144">
        <w:rPr>
          <w:rFonts w:ascii="Arial" w:hAnsi="Arial" w:cs="Arial"/>
          <w:sz w:val="24"/>
          <w:szCs w:val="24"/>
          <w:lang w:val="en-US"/>
        </w:rPr>
        <w:t>a</w:t>
      </w:r>
      <w:r w:rsidR="00265CA9">
        <w:rPr>
          <w:rFonts w:ascii="Arial" w:hAnsi="Arial" w:cs="Arial"/>
          <w:sz w:val="24"/>
          <w:szCs w:val="24"/>
          <w:lang w:val="en-US"/>
        </w:rPr>
        <w:t xml:space="preserve">. </w:t>
      </w:r>
      <w:r w:rsidR="00A31144">
        <w:rPr>
          <w:rFonts w:ascii="Arial" w:hAnsi="Arial" w:cs="Arial"/>
          <w:sz w:val="24"/>
          <w:szCs w:val="24"/>
          <w:lang w:val="en-US"/>
        </w:rPr>
        <w:t>Ilse Pediriva</w:t>
      </w:r>
      <w:r w:rsidR="00265CA9">
        <w:rPr>
          <w:rFonts w:ascii="Arial" w:hAnsi="Arial" w:cs="Arial"/>
          <w:sz w:val="24"/>
          <w:szCs w:val="24"/>
          <w:lang w:val="en-US"/>
        </w:rPr>
        <w:t>, Secretári</w:t>
      </w:r>
      <w:r w:rsidR="00A31144">
        <w:rPr>
          <w:rFonts w:ascii="Arial" w:hAnsi="Arial" w:cs="Arial"/>
          <w:sz w:val="24"/>
          <w:szCs w:val="24"/>
          <w:lang w:val="en-US"/>
        </w:rPr>
        <w:t>a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Municipal de Finanças, passou a apresentar as metas </w:t>
      </w:r>
      <w:r w:rsidR="00265CA9" w:rsidRPr="003D5E5B">
        <w:rPr>
          <w:rFonts w:ascii="Arial" w:hAnsi="Arial" w:cs="Arial"/>
          <w:sz w:val="24"/>
          <w:szCs w:val="24"/>
          <w:lang w:val="en-US"/>
        </w:rPr>
        <w:t>realizadas,  onde  foram  destacados  os  seguintes  resultados: o Resultado Primário, no período de 1</w:t>
      </w:r>
      <w:r w:rsidR="00265CA9" w:rsidRPr="003D5E5B">
        <w:rPr>
          <w:rFonts w:ascii="Arial" w:hAnsi="Arial" w:cs="Arial"/>
          <w:strike/>
          <w:sz w:val="24"/>
          <w:szCs w:val="24"/>
          <w:lang w:val="en-US"/>
        </w:rPr>
        <w:t>º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de Janeiro a </w:t>
      </w:r>
      <w:r w:rsidR="00A31144" w:rsidRPr="003D5E5B">
        <w:rPr>
          <w:rFonts w:ascii="Arial" w:hAnsi="Arial" w:cs="Arial"/>
          <w:sz w:val="24"/>
          <w:szCs w:val="24"/>
          <w:lang w:val="en-US"/>
        </w:rPr>
        <w:t>30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de </w:t>
      </w:r>
      <w:r w:rsidR="00A31144" w:rsidRPr="003D5E5B">
        <w:rPr>
          <w:rFonts w:ascii="Arial" w:hAnsi="Arial" w:cs="Arial"/>
          <w:sz w:val="24"/>
          <w:szCs w:val="24"/>
          <w:lang w:val="en-US"/>
        </w:rPr>
        <w:t>abril de 2020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, foi de R$ </w:t>
      </w:r>
      <w:r w:rsidR="003D5E5B" w:rsidRPr="003D5E5B">
        <w:rPr>
          <w:rFonts w:ascii="Arial" w:hAnsi="Arial" w:cs="Arial"/>
          <w:sz w:val="24"/>
          <w:szCs w:val="24"/>
          <w:lang w:val="en-US"/>
        </w:rPr>
        <w:t>6.611.002,00, se a este valor somarmos o saldo do exercício anterior, teremos um resultado primário ajustado de R$ 10.703.185,70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. Este valor é </w:t>
      </w:r>
      <w:r w:rsidR="003D5E5B" w:rsidRPr="003D5E5B">
        <w:rPr>
          <w:rFonts w:ascii="Arial" w:hAnsi="Arial" w:cs="Arial"/>
          <w:sz w:val="24"/>
          <w:szCs w:val="24"/>
          <w:lang w:val="en-US"/>
        </w:rPr>
        <w:t xml:space="preserve">muito superior à meta prevista na LDO que era de 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R$ </w:t>
      </w:r>
      <w:r w:rsidR="003D5E5B" w:rsidRPr="003D5E5B">
        <w:rPr>
          <w:rFonts w:ascii="Arial" w:hAnsi="Arial" w:cs="Arial"/>
          <w:sz w:val="24"/>
          <w:szCs w:val="24"/>
          <w:lang w:val="en-US"/>
        </w:rPr>
        <w:t>500.000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,00. O desempenho favorável demonstra que as receitas primárias foram suficientes para suportar integralmente as despesas primárias. O superávit observado deveu-se, principalmente, </w:t>
      </w:r>
      <w:r w:rsidR="00265CA9">
        <w:rPr>
          <w:rFonts w:ascii="Arial" w:hAnsi="Arial" w:cs="Arial"/>
          <w:sz w:val="24"/>
          <w:szCs w:val="24"/>
          <w:lang w:val="en-US"/>
        </w:rPr>
        <w:t>pela redução nas despesas correntes com pessoal e encargos sociais, redução na prestação de serviços e transporte escolar, já que as aulas estão suspenas em virtude da pandemia do novo corona virus, assim sendo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, no período, </w:t>
      </w:r>
      <w:r w:rsidR="00265CA9">
        <w:rPr>
          <w:rFonts w:ascii="Arial" w:hAnsi="Arial" w:cs="Arial"/>
          <w:sz w:val="24"/>
          <w:szCs w:val="24"/>
          <w:lang w:val="en-US"/>
        </w:rPr>
        <w:t>as receitas somaram um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montante de R$ </w:t>
      </w:r>
      <w:r w:rsidR="003D5E5B" w:rsidRPr="003D5E5B">
        <w:rPr>
          <w:rFonts w:ascii="Arial" w:hAnsi="Arial" w:cs="Arial"/>
          <w:sz w:val="24"/>
          <w:szCs w:val="24"/>
          <w:lang w:val="en-US"/>
        </w:rPr>
        <w:t>24.778.167,47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, correspondendo a </w:t>
      </w:r>
      <w:r w:rsidR="003D5E5B" w:rsidRPr="003D5E5B">
        <w:rPr>
          <w:rFonts w:ascii="Arial" w:hAnsi="Arial" w:cs="Arial"/>
          <w:sz w:val="24"/>
          <w:szCs w:val="24"/>
          <w:lang w:val="en-US"/>
        </w:rPr>
        <w:t>31,87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% da meta prevista. O valor verificado foi superior às despesas primárias – representadas pelas despesas totais do Município, expurgados o pagamento da dívida e as concessões de empréstimos – que corresponderam, no mesmo período, a R$ </w:t>
      </w:r>
      <w:r w:rsidR="003D5E5B" w:rsidRPr="003D5E5B">
        <w:rPr>
          <w:rFonts w:ascii="Arial" w:hAnsi="Arial" w:cs="Arial"/>
          <w:sz w:val="24"/>
          <w:szCs w:val="24"/>
          <w:lang w:val="en-US"/>
        </w:rPr>
        <w:t>16.956.237,68 (pagas).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</w:t>
      </w:r>
      <w:r w:rsidR="003D5E5B" w:rsidRPr="003D5E5B">
        <w:rPr>
          <w:rFonts w:ascii="Arial" w:hAnsi="Arial" w:cs="Arial"/>
          <w:sz w:val="24"/>
          <w:szCs w:val="24"/>
          <w:lang w:val="en-US"/>
        </w:rPr>
        <w:t xml:space="preserve"> A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Secretári</w:t>
      </w:r>
      <w:r w:rsidR="003D5E5B" w:rsidRPr="003D5E5B">
        <w:rPr>
          <w:rFonts w:ascii="Arial" w:hAnsi="Arial" w:cs="Arial"/>
          <w:sz w:val="24"/>
          <w:szCs w:val="24"/>
          <w:lang w:val="en-US"/>
        </w:rPr>
        <w:t>a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de Finanças destacou que a previsão atualizada da receita deve-se </w:t>
      </w:r>
      <w:r w:rsidR="00265CA9" w:rsidRPr="00265CA9">
        <w:rPr>
          <w:rFonts w:ascii="Arial" w:hAnsi="Arial" w:cs="Arial"/>
          <w:sz w:val="24"/>
          <w:szCs w:val="24"/>
          <w:lang w:val="en-US"/>
        </w:rPr>
        <w:t>ao f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ato de que durante o exercício financeiro são registrados créditos adicionais, inicialmente não previstos quando da elaboração da LDO e da LOA, como por exemplo repasses </w:t>
      </w:r>
      <w:r w:rsidR="00265CA9" w:rsidRPr="003D5E5B">
        <w:rPr>
          <w:rFonts w:ascii="Arial" w:hAnsi="Arial" w:cs="Arial"/>
          <w:sz w:val="24"/>
          <w:szCs w:val="24"/>
          <w:lang w:val="en-US"/>
        </w:rPr>
        <w:lastRenderedPageBreak/>
        <w:t xml:space="preserve">oriundos de emendas parlamentares. A Receita de IPTU teve a </w:t>
      </w:r>
      <w:proofErr w:type="spellStart"/>
      <w:r w:rsidR="00265CA9" w:rsidRPr="003D5E5B">
        <w:rPr>
          <w:rFonts w:ascii="Arial" w:hAnsi="Arial" w:cs="Arial"/>
          <w:sz w:val="24"/>
          <w:szCs w:val="24"/>
          <w:lang w:val="en-US"/>
        </w:rPr>
        <w:t>sua</w:t>
      </w:r>
      <w:proofErr w:type="spellEnd"/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65CA9" w:rsidRPr="003D5E5B">
        <w:rPr>
          <w:rFonts w:ascii="Arial" w:hAnsi="Arial" w:cs="Arial"/>
          <w:sz w:val="24"/>
          <w:szCs w:val="24"/>
          <w:lang w:val="en-US"/>
        </w:rPr>
        <w:t>realização</w:t>
      </w:r>
      <w:proofErr w:type="spellEnd"/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="00265CA9" w:rsidRPr="003D5E5B">
        <w:rPr>
          <w:rFonts w:ascii="Arial" w:hAnsi="Arial" w:cs="Arial"/>
          <w:sz w:val="24"/>
          <w:szCs w:val="24"/>
          <w:lang w:val="en-US"/>
        </w:rPr>
        <w:t>montante</w:t>
      </w:r>
      <w:proofErr w:type="spellEnd"/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R$ </w:t>
      </w:r>
      <w:r w:rsidR="003D5E5B" w:rsidRPr="003D5E5B">
        <w:rPr>
          <w:rFonts w:ascii="Arial" w:hAnsi="Arial" w:cs="Arial"/>
          <w:sz w:val="24"/>
          <w:szCs w:val="24"/>
          <w:lang w:val="en-US"/>
        </w:rPr>
        <w:t>860.789,22</w:t>
      </w:r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265CA9" w:rsidRPr="003D5E5B">
        <w:rPr>
          <w:rFonts w:ascii="Arial" w:hAnsi="Arial" w:cs="Arial"/>
          <w:sz w:val="24"/>
          <w:szCs w:val="24"/>
          <w:lang w:val="en-US"/>
        </w:rPr>
        <w:t>representando</w:t>
      </w:r>
      <w:proofErr w:type="spellEnd"/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65CA9" w:rsidRPr="003D5E5B">
        <w:rPr>
          <w:rFonts w:ascii="Arial" w:hAnsi="Arial" w:cs="Arial"/>
          <w:sz w:val="24"/>
          <w:szCs w:val="24"/>
          <w:lang w:val="en-US"/>
        </w:rPr>
        <w:t>apenas</w:t>
      </w:r>
      <w:proofErr w:type="spellEnd"/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</w:t>
      </w:r>
      <w:r w:rsidR="003D5E5B" w:rsidRPr="003D5E5B">
        <w:rPr>
          <w:rFonts w:ascii="Arial" w:hAnsi="Arial" w:cs="Arial"/>
          <w:sz w:val="24"/>
          <w:szCs w:val="24"/>
          <w:lang w:val="en-US"/>
        </w:rPr>
        <w:t>14</w:t>
      </w:r>
      <w:proofErr w:type="gramStart"/>
      <w:r>
        <w:rPr>
          <w:rFonts w:ascii="Arial" w:hAnsi="Arial" w:cs="Arial"/>
          <w:sz w:val="24"/>
          <w:szCs w:val="24"/>
          <w:lang w:val="en-US"/>
        </w:rPr>
        <w:t>,</w:t>
      </w:r>
      <w:r w:rsidR="003D5E5B" w:rsidRPr="003D5E5B">
        <w:rPr>
          <w:rFonts w:ascii="Arial" w:hAnsi="Arial" w:cs="Arial"/>
          <w:sz w:val="24"/>
          <w:szCs w:val="24"/>
          <w:lang w:val="en-US"/>
        </w:rPr>
        <w:t>01</w:t>
      </w:r>
      <w:proofErr w:type="gramEnd"/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% do </w:t>
      </w:r>
      <w:proofErr w:type="spellStart"/>
      <w:r w:rsidR="00265CA9" w:rsidRPr="003D5E5B">
        <w:rPr>
          <w:rFonts w:ascii="Arial" w:hAnsi="Arial" w:cs="Arial"/>
          <w:sz w:val="24"/>
          <w:szCs w:val="24"/>
          <w:lang w:val="en-US"/>
        </w:rPr>
        <w:t>previsto</w:t>
      </w:r>
      <w:proofErr w:type="spellEnd"/>
      <w:r w:rsidR="00265CA9" w:rsidRPr="003D5E5B">
        <w:rPr>
          <w:rFonts w:ascii="Arial" w:hAnsi="Arial" w:cs="Arial"/>
          <w:sz w:val="24"/>
          <w:szCs w:val="24"/>
          <w:lang w:val="en-US"/>
        </w:rPr>
        <w:t xml:space="preserve"> (R$ 6.</w:t>
      </w:r>
      <w:r w:rsidR="003D5E5B" w:rsidRPr="003D5E5B">
        <w:rPr>
          <w:rFonts w:ascii="Arial" w:hAnsi="Arial" w:cs="Arial"/>
          <w:sz w:val="24"/>
          <w:szCs w:val="24"/>
          <w:lang w:val="en-US"/>
        </w:rPr>
        <w:t>142.840,28).</w:t>
      </w:r>
      <w:r w:rsidR="00265CA9" w:rsidRPr="00CF7121">
        <w:rPr>
          <w:rFonts w:ascii="Arial" w:hAnsi="Arial" w:cs="Arial"/>
          <w:sz w:val="24"/>
          <w:szCs w:val="24"/>
          <w:lang w:val="en-US"/>
        </w:rPr>
        <w:t xml:space="preserve"> </w:t>
      </w:r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O Resultado Nominal, que representa a análise da dívida pública, no </w:t>
      </w:r>
      <w:r w:rsidR="003D5E5B" w:rsidRPr="00920B83">
        <w:rPr>
          <w:rFonts w:ascii="Arial" w:hAnsi="Arial" w:cs="Arial"/>
          <w:color w:val="auto"/>
          <w:sz w:val="24"/>
          <w:szCs w:val="24"/>
          <w:lang w:val="en-US"/>
        </w:rPr>
        <w:t>1</w:t>
      </w:r>
      <w:r w:rsidR="00265CA9" w:rsidRPr="00920B83">
        <w:rPr>
          <w:rFonts w:ascii="Arial" w:hAnsi="Arial" w:cs="Arial"/>
          <w:strike/>
          <w:color w:val="auto"/>
          <w:sz w:val="24"/>
          <w:szCs w:val="24"/>
          <w:lang w:val="en-US"/>
        </w:rPr>
        <w:t>º</w:t>
      </w:r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 quadrimestre de 20</w:t>
      </w:r>
      <w:r w:rsidR="003D5E5B" w:rsidRPr="00920B83">
        <w:rPr>
          <w:rFonts w:ascii="Arial" w:hAnsi="Arial" w:cs="Arial"/>
          <w:color w:val="auto"/>
          <w:sz w:val="24"/>
          <w:szCs w:val="24"/>
          <w:lang w:val="en-US"/>
        </w:rPr>
        <w:t>20</w:t>
      </w:r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, foi registrado ao término do período a importância de R$ </w:t>
      </w:r>
      <w:r w:rsidR="00920B83" w:rsidRPr="00920B83">
        <w:rPr>
          <w:rFonts w:ascii="Arial" w:hAnsi="Arial" w:cs="Arial"/>
          <w:color w:val="auto"/>
          <w:sz w:val="24"/>
          <w:szCs w:val="24"/>
          <w:lang w:val="en-US"/>
        </w:rPr>
        <w:t>3.543.425,90</w:t>
      </w:r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r w:rsidR="00265CA9" w:rsidRPr="004166AD">
        <w:rPr>
          <w:rFonts w:ascii="Arial" w:hAnsi="Arial" w:cs="Arial"/>
          <w:color w:val="auto"/>
          <w:sz w:val="24"/>
          <w:szCs w:val="24"/>
          <w:lang w:val="en-US"/>
        </w:rPr>
        <w:t>estando</w:t>
      </w:r>
      <w:r w:rsidR="00265CA9" w:rsidRPr="004166AD">
        <w:rPr>
          <w:rFonts w:ascii="Arial" w:hAnsi="Arial" w:cs="Arial"/>
          <w:color w:val="FF0000"/>
          <w:sz w:val="24"/>
          <w:szCs w:val="24"/>
          <w:lang w:val="en-US"/>
        </w:rPr>
        <w:t xml:space="preserve">, </w:t>
      </w:r>
      <w:r w:rsidR="00265CA9" w:rsidRPr="004166AD">
        <w:rPr>
          <w:rFonts w:ascii="Arial" w:hAnsi="Arial" w:cs="Arial"/>
          <w:color w:val="auto"/>
          <w:sz w:val="24"/>
          <w:szCs w:val="24"/>
          <w:lang w:val="en-US"/>
        </w:rPr>
        <w:t>portanto, acima da previsão estabelecida na LDO para o exercício, no montante de R$ 0,00.</w:t>
      </w:r>
      <w:r w:rsidR="00265CA9" w:rsidRPr="00FB2D29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920B83" w:rsidRPr="00622361">
        <w:rPr>
          <w:rFonts w:ascii="Arial" w:hAnsi="Arial" w:cs="Arial"/>
          <w:color w:val="auto"/>
          <w:sz w:val="24"/>
          <w:szCs w:val="24"/>
        </w:rPr>
        <w:t>A dívida pública consolidada até o final do primeiro quadrimestre apresentou um saldo de R$ (18.295.499,75), em comparação com o último quadrimestre do exercício anterior que era de R$ (14.752.073,85), houve um acréscimo de R$ (3.543.425,90</w:t>
      </w:r>
      <w:r w:rsidR="00920B83" w:rsidRPr="00920B83">
        <w:rPr>
          <w:rFonts w:ascii="Arial" w:hAnsi="Arial" w:cs="Arial"/>
          <w:color w:val="auto"/>
          <w:sz w:val="24"/>
          <w:szCs w:val="24"/>
        </w:rPr>
        <w:t xml:space="preserve">). </w:t>
      </w:r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O </w:t>
      </w:r>
      <w:proofErr w:type="spellStart"/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>resultado</w:t>
      </w:r>
      <w:proofErr w:type="spellEnd"/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 nominal </w:t>
      </w:r>
      <w:proofErr w:type="spellStart"/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>demonstra</w:t>
      </w:r>
      <w:proofErr w:type="spellEnd"/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 se a dívida evoluiu ou diminuiu no período e </w:t>
      </w:r>
      <w:proofErr w:type="gramStart"/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>mede</w:t>
      </w:r>
      <w:proofErr w:type="gramEnd"/>
      <w:r w:rsidR="00265CA9" w:rsidRPr="00920B83">
        <w:rPr>
          <w:rFonts w:ascii="Arial" w:hAnsi="Arial" w:cs="Arial"/>
          <w:color w:val="auto"/>
          <w:sz w:val="24"/>
          <w:szCs w:val="24"/>
          <w:lang w:val="en-US"/>
        </w:rPr>
        <w:t xml:space="preserve"> a necessidade de financiamento no Setor Público, e a dívida consolidada representa as obrigações financeiras assumidas pelo Município, para amortização em prazo maior que 12 meses. </w:t>
      </w:r>
      <w:proofErr w:type="gramStart"/>
      <w:r w:rsidRPr="003540A2">
        <w:rPr>
          <w:rFonts w:ascii="Arial" w:hAnsi="Arial" w:cs="Arial"/>
          <w:sz w:val="24"/>
          <w:szCs w:val="24"/>
        </w:rPr>
        <w:t>fiscal</w:t>
      </w:r>
      <w:proofErr w:type="gramEnd"/>
      <w:r w:rsidRPr="003540A2">
        <w:rPr>
          <w:rFonts w:ascii="Arial" w:hAnsi="Arial" w:cs="Arial"/>
          <w:sz w:val="24"/>
          <w:szCs w:val="24"/>
        </w:rPr>
        <w:t xml:space="preserve"> definido na LRF diz respeito ao acúmulo de restos a pagar comparado com a disponibilidade de caixa. Em 2019, os Restos a Pagar foram de R$ </w:t>
      </w:r>
      <w:r w:rsidRPr="004166AD">
        <w:rPr>
          <w:rFonts w:ascii="Arial" w:hAnsi="Arial" w:cs="Arial"/>
          <w:sz w:val="24"/>
          <w:szCs w:val="24"/>
        </w:rPr>
        <w:t>1.552.587,16. Já as disponibilidades alcançaram R$ 15.664.233,08</w:t>
      </w:r>
      <w:r w:rsidR="004166AD">
        <w:rPr>
          <w:rFonts w:ascii="Arial" w:hAnsi="Arial" w:cs="Arial"/>
          <w:sz w:val="24"/>
          <w:szCs w:val="24"/>
        </w:rPr>
        <w:t>. A relação “Saldo de Caixa</w:t>
      </w:r>
      <w:r w:rsidRPr="004166AD">
        <w:rPr>
          <w:rFonts w:ascii="Arial" w:hAnsi="Arial" w:cs="Arial"/>
          <w:sz w:val="24"/>
          <w:szCs w:val="24"/>
        </w:rPr>
        <w:t>/Restos</w:t>
      </w:r>
      <w:r w:rsidRPr="003540A2">
        <w:rPr>
          <w:rFonts w:ascii="Arial" w:hAnsi="Arial" w:cs="Arial"/>
          <w:sz w:val="24"/>
          <w:szCs w:val="24"/>
        </w:rPr>
        <w:t xml:space="preserve"> a Pagar”, foi de 10,09%.</w:t>
      </w:r>
      <w:r>
        <w:rPr>
          <w:rFonts w:ascii="Arial" w:hAnsi="Arial" w:cs="Arial"/>
          <w:sz w:val="24"/>
          <w:szCs w:val="24"/>
        </w:rPr>
        <w:t xml:space="preserve"> 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No tocante  aos  índices  de  Saúde,  ficou  demonstrado  que  a  aplicação  foi  de  </w:t>
      </w:r>
      <w:r w:rsidR="004B3340" w:rsidRPr="004B3340">
        <w:rPr>
          <w:rFonts w:ascii="Arial" w:hAnsi="Arial" w:cs="Arial"/>
          <w:sz w:val="24"/>
          <w:szCs w:val="24"/>
          <w:lang w:val="en-US"/>
        </w:rPr>
        <w:t>11,81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%, </w:t>
      </w:r>
      <w:r w:rsidR="004B3340" w:rsidRPr="004B3340">
        <w:rPr>
          <w:rFonts w:ascii="Arial" w:hAnsi="Arial" w:cs="Arial"/>
          <w:sz w:val="24"/>
          <w:szCs w:val="24"/>
          <w:lang w:val="en-US"/>
        </w:rPr>
        <w:t xml:space="preserve">índice que deverá ser de 15% até o final do exercício para </w:t>
      </w:r>
      <w:r w:rsidR="00265CA9" w:rsidRPr="004B3340">
        <w:rPr>
          <w:rFonts w:ascii="Arial" w:hAnsi="Arial" w:cs="Arial"/>
          <w:sz w:val="24"/>
          <w:szCs w:val="24"/>
          <w:lang w:val="en-US"/>
        </w:rPr>
        <w:t>cumpri</w:t>
      </w:r>
      <w:r w:rsidR="004B3340" w:rsidRPr="004B3340">
        <w:rPr>
          <w:rFonts w:ascii="Arial" w:hAnsi="Arial" w:cs="Arial"/>
          <w:sz w:val="24"/>
          <w:szCs w:val="24"/>
          <w:lang w:val="en-US"/>
        </w:rPr>
        <w:t>r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 com o disposto no art. 198 da Constituição Federal, combinado com o disposto no § 1</w:t>
      </w:r>
      <w:r w:rsidR="00265CA9" w:rsidRPr="004B3340">
        <w:rPr>
          <w:rFonts w:ascii="Arial" w:hAnsi="Arial" w:cs="Arial"/>
          <w:strike/>
          <w:sz w:val="24"/>
          <w:szCs w:val="24"/>
          <w:lang w:val="en-US"/>
        </w:rPr>
        <w:t>º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 do art. 77 do Ato das Disposições Constitucionais Transitórias – ADCT. Já em relação aos dispêndios  com educação,  estes  representaram  </w:t>
      </w:r>
      <w:r w:rsidR="004B3340" w:rsidRPr="004B3340">
        <w:rPr>
          <w:rFonts w:ascii="Arial" w:hAnsi="Arial" w:cs="Arial"/>
          <w:sz w:val="24"/>
          <w:szCs w:val="24"/>
          <w:lang w:val="en-US"/>
        </w:rPr>
        <w:t>16,90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%  da  Receita  Resultante  de  Impostos, </w:t>
      </w:r>
      <w:r w:rsidR="004B3340" w:rsidRPr="004B3340">
        <w:rPr>
          <w:rFonts w:ascii="Arial" w:hAnsi="Arial" w:cs="Arial"/>
          <w:sz w:val="24"/>
          <w:szCs w:val="24"/>
          <w:lang w:val="en-US"/>
        </w:rPr>
        <w:t>o qual deverá ser de no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 mínimo 25% e </w:t>
      </w:r>
      <w:r w:rsidR="004B3340" w:rsidRPr="004B3340">
        <w:rPr>
          <w:rFonts w:ascii="Arial" w:hAnsi="Arial" w:cs="Arial"/>
          <w:sz w:val="24"/>
          <w:szCs w:val="24"/>
          <w:lang w:val="en-US"/>
        </w:rPr>
        <w:t>para attender ao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 disposto no art.  212  da  Constituição  Federal. Também foi demonstrada na Audiência a situação com relação aos gastos de pessoal. O Poder Executivo apresentou um dispêndio de </w:t>
      </w:r>
      <w:r w:rsidR="004B3340" w:rsidRPr="004B3340">
        <w:rPr>
          <w:rFonts w:ascii="Arial" w:hAnsi="Arial" w:cs="Arial"/>
          <w:sz w:val="24"/>
          <w:szCs w:val="24"/>
          <w:lang w:val="en-US"/>
        </w:rPr>
        <w:t>46,38</w:t>
      </w:r>
      <w:r w:rsidR="00265CA9" w:rsidRPr="004B3340">
        <w:rPr>
          <w:rFonts w:ascii="Arial" w:hAnsi="Arial" w:cs="Arial"/>
          <w:sz w:val="24"/>
          <w:szCs w:val="24"/>
          <w:lang w:val="en-US"/>
        </w:rPr>
        <w:t>% da Receita  Corrente  Líquida  do  Município, comprovando,  dessa  forma, estar  cumprindo  o  limite estabelecido no art. 20, inciso III, alínea a, da Lei de Responsabilidade Fiscal. Já os gastos de pessoal do Poder Legislativo foram de 1,</w:t>
      </w:r>
      <w:r w:rsidR="004B3340" w:rsidRPr="004B3340">
        <w:rPr>
          <w:rFonts w:ascii="Arial" w:hAnsi="Arial" w:cs="Arial"/>
          <w:sz w:val="24"/>
          <w:szCs w:val="24"/>
          <w:lang w:val="en-US"/>
        </w:rPr>
        <w:t>48</w:t>
      </w:r>
      <w:r w:rsidR="00265CA9" w:rsidRPr="004B3340">
        <w:rPr>
          <w:rFonts w:ascii="Arial" w:hAnsi="Arial" w:cs="Arial"/>
          <w:sz w:val="24"/>
          <w:szCs w:val="24"/>
          <w:lang w:val="en-US"/>
        </w:rPr>
        <w:t xml:space="preserve">%, da Receita Corrente Líquida do Município, comprovando o cumprimento do limite estabelecido no art. 20, inciso III, alínea b, da LRF. Assim, estando apresentados os quadros demonstrativos </w:t>
      </w:r>
      <w:r w:rsidR="00265CA9" w:rsidRPr="009538C3">
        <w:rPr>
          <w:rFonts w:ascii="Arial" w:hAnsi="Arial" w:cs="Arial"/>
          <w:sz w:val="24"/>
          <w:szCs w:val="24"/>
          <w:lang w:val="en-US"/>
        </w:rPr>
        <w:t>das Metas</w:t>
      </w:r>
      <w:r w:rsidR="00265CA9">
        <w:rPr>
          <w:rFonts w:ascii="Arial" w:hAnsi="Arial" w:cs="Arial"/>
          <w:sz w:val="24"/>
          <w:szCs w:val="24"/>
          <w:lang w:val="en-US"/>
        </w:rPr>
        <w:t xml:space="preserve">  Fiscais, o Presidente da  Comissão  de Orçamento, Finanças e Infra-Estrutura Urbana e Rural agradeceu a presença de todos e nada mais havendo a tratar encerrou a audiência, da qual se lavrou a presente Ata, que passa a ser assinada pelos membros da Comissão de Orçamento, Finanças e Infra-</w:t>
      </w:r>
      <w:proofErr w:type="spellStart"/>
      <w:r w:rsidR="00265CA9">
        <w:rPr>
          <w:rFonts w:ascii="Arial" w:hAnsi="Arial" w:cs="Arial"/>
          <w:sz w:val="24"/>
          <w:szCs w:val="24"/>
          <w:lang w:val="en-US"/>
        </w:rPr>
        <w:t>Estrutura</w:t>
      </w:r>
      <w:proofErr w:type="spellEnd"/>
      <w:r w:rsidR="00265CA9">
        <w:rPr>
          <w:rFonts w:ascii="Arial" w:hAnsi="Arial" w:cs="Arial"/>
          <w:sz w:val="24"/>
          <w:szCs w:val="24"/>
          <w:lang w:val="en-US"/>
        </w:rPr>
        <w:t xml:space="preserve"> Urbana e Rural.</w:t>
      </w:r>
      <w:bookmarkStart w:id="0" w:name="_GoBack"/>
      <w:bookmarkEnd w:id="0"/>
    </w:p>
    <w:sectPr w:rsidR="00137D06" w:rsidSect="00A31144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6"/>
    <w:rsid w:val="00137D06"/>
    <w:rsid w:val="00205516"/>
    <w:rsid w:val="00265CA9"/>
    <w:rsid w:val="002D00F1"/>
    <w:rsid w:val="00322DFC"/>
    <w:rsid w:val="003540A2"/>
    <w:rsid w:val="00393700"/>
    <w:rsid w:val="003D5E5B"/>
    <w:rsid w:val="004166AD"/>
    <w:rsid w:val="004B3340"/>
    <w:rsid w:val="00920B83"/>
    <w:rsid w:val="009538C3"/>
    <w:rsid w:val="009F15B1"/>
    <w:rsid w:val="00A06687"/>
    <w:rsid w:val="00A31144"/>
    <w:rsid w:val="00C76EDC"/>
    <w:rsid w:val="00CF7121"/>
    <w:rsid w:val="00FB2D29"/>
    <w:rsid w:val="00F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EE83"/>
  <w15:docId w15:val="{52640595-4070-47C6-B82B-3FC26F6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563C1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qFormat/>
    <w:pPr>
      <w:spacing w:before="280" w:after="280" w:line="240" w:lineRule="auto"/>
      <w:ind w:firstLine="180"/>
      <w:jc w:val="both"/>
    </w:pPr>
    <w:rPr>
      <w:rFonts w:ascii="Times New Roman" w:eastAsia="Times New Roman" w:hAnsi="Times New Roman" w:cs="Times New Roman"/>
      <w:color w:val="303030"/>
      <w:sz w:val="27"/>
      <w:szCs w:val="27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Marlise</cp:lastModifiedBy>
  <cp:revision>17</cp:revision>
  <cp:lastPrinted>2020-07-03T12:09:00Z</cp:lastPrinted>
  <dcterms:created xsi:type="dcterms:W3CDTF">2020-05-22T16:39:00Z</dcterms:created>
  <dcterms:modified xsi:type="dcterms:W3CDTF">2020-07-03T12:10:00Z</dcterms:modified>
  <dc:language>pt-BR</dc:language>
</cp:coreProperties>
</file>