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margin">
              <wp:align>center</wp:align>
            </wp:positionH>
            <wp:positionV relativeFrom="paragraph">
              <wp:posOffset>6985</wp:posOffset>
            </wp:positionV>
            <wp:extent cx="880110" cy="1083310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7" t="-164" r="-197" b="-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549910</wp:posOffset>
                </wp:positionH>
                <wp:positionV relativeFrom="paragraph">
                  <wp:posOffset>27940</wp:posOffset>
                </wp:positionV>
                <wp:extent cx="4391025" cy="1059815"/>
                <wp:effectExtent l="0" t="0" r="0" b="0"/>
                <wp:wrapNone/>
                <wp:docPr id="2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0560" cy="105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widowControl/>
                              <w:tabs>
                                <w:tab w:val="left" w:pos="5893" w:leader="none"/>
                              </w:tabs>
                              <w:suppressAutoHyphens w:val="true"/>
                              <w:bidi w:val="0"/>
                              <w:spacing w:lineRule="auto" w:line="240" w:before="0" w:after="0"/>
                              <w:ind w:left="0" w:right="1077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</w:r>
                          </w:p>
                          <w:p>
                            <w:pPr>
                              <w:pStyle w:val="Contedodoquadro"/>
                              <w:widowControl/>
                              <w:suppressAutoHyphens w:val="true"/>
                              <w:bidi w:val="0"/>
                              <w:spacing w:lineRule="auto" w:line="240" w:before="0" w:after="0"/>
                              <w:ind w:left="0" w:right="170" w:hanging="0"/>
                              <w:jc w:val="center"/>
                              <w:rPr>
                                <w:b/>
                                <w:b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Estado do Rio Grande do Sul</w:t>
                            </w:r>
                          </w:p>
                          <w:p>
                            <w:pPr>
                              <w:pStyle w:val="Contedodoquadro"/>
                              <w:pBdr>
                                <w:bottom w:val="single" w:sz="12" w:space="1" w:color="000001"/>
                              </w:pBdr>
                              <w:spacing w:lineRule="auto" w:line="240" w:before="0" w:after="0"/>
                              <w:jc w:val="center"/>
                              <w:rPr>
                                <w:b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>Câmara Municipal de Três Passos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Constituição, Redação e Bem-Estar Social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color w:val="000000"/>
                                <w:sz w:val="20"/>
                                <w:szCs w:val="20"/>
                              </w:rPr>
                              <w:t>Comissão de Orçamento, Finanças e Infraestrutura Urbana e Rural</w:t>
                            </w:r>
                          </w:p>
                        </w:txbxContent>
                      </wps:txbx>
                      <wps:bodyPr lIns="97920" rIns="97920" tIns="52200" bIns="522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1" fillcolor="white" stroked="f" style="position:absolute;margin-left:43.3pt;margin-top:2.2pt;width:345.65pt;height:83.35pt">
                <w10:wrap type="square"/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widowControl/>
                        <w:tabs>
                          <w:tab w:val="left" w:pos="5893" w:leader="none"/>
                        </w:tabs>
                        <w:suppressAutoHyphens w:val="true"/>
                        <w:bidi w:val="0"/>
                        <w:spacing w:lineRule="auto" w:line="240" w:before="0" w:after="0"/>
                        <w:ind w:left="0" w:right="1077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</w:rPr>
                      </w:r>
                    </w:p>
                    <w:p>
                      <w:pPr>
                        <w:pStyle w:val="Contedodoquadro"/>
                        <w:widowControl/>
                        <w:suppressAutoHyphens w:val="true"/>
                        <w:bidi w:val="0"/>
                        <w:spacing w:lineRule="auto" w:line="240" w:before="0" w:after="0"/>
                        <w:ind w:left="0" w:right="170" w:hanging="0"/>
                        <w:jc w:val="center"/>
                        <w:rPr>
                          <w:b/>
                          <w:b/>
                        </w:rPr>
                      </w:pPr>
                      <w:r>
                        <w:rPr>
                          <w:b/>
                          <w:color w:val="000000"/>
                        </w:rPr>
                        <w:t>Estado do Rio Grande do Sul</w:t>
                      </w:r>
                    </w:p>
                    <w:p>
                      <w:pPr>
                        <w:pStyle w:val="Contedodoquadro"/>
                        <w:pBdr>
                          <w:bottom w:val="single" w:sz="12" w:space="1" w:color="000001"/>
                        </w:pBdr>
                        <w:spacing w:lineRule="auto" w:line="240" w:before="0" w:after="0"/>
                        <w:jc w:val="center"/>
                        <w:rPr>
                          <w:b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>Câmara Municipal de Três Passos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Constituição, Redação e Bem-Estar Social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color w:val="000000"/>
                          <w:sz w:val="20"/>
                          <w:szCs w:val="20"/>
                        </w:rPr>
                        <w:t>Comissão de Orçamento, Finanças e Infraestrutura Urbana e Rural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jc w:val="center"/>
        <w:rPr>
          <w:rFonts w:ascii="Arial" w:hAnsi="Arial" w:cs="Arial"/>
          <w:sz w:val="24"/>
          <w:szCs w:val="24"/>
          <w:lang w:eastAsia="pt-BR"/>
        </w:rPr>
      </w:pPr>
      <w:r>
        <w:rPr>
          <w:rFonts w:cs="Arial" w:ascii="Arial" w:hAnsi="Arial"/>
          <w:sz w:val="24"/>
          <w:szCs w:val="24"/>
          <w:lang w:eastAsia="pt-BR"/>
        </w:rPr>
      </w:r>
    </w:p>
    <w:p>
      <w:pPr>
        <w:pStyle w:val="Normal"/>
        <w:tabs>
          <w:tab w:val="left" w:pos="4400" w:leader="none"/>
        </w:tabs>
        <w:rPr/>
      </w:pPr>
      <w:r>
        <w:rPr>
          <w:rFonts w:cs="Arial" w:ascii="Arial" w:hAnsi="Arial"/>
          <w:sz w:val="24"/>
          <w:szCs w:val="24"/>
        </w:rPr>
        <w:tab/>
      </w:r>
    </w:p>
    <w:p>
      <w:pPr>
        <w:pStyle w:val="Normal"/>
        <w:tabs>
          <w:tab w:val="left" w:pos="4400" w:leader="none"/>
        </w:tabs>
        <w:rPr>
          <w:rFonts w:ascii="Arial" w:hAnsi="Arial" w:cs="Arial"/>
          <w:sz w:val="24"/>
          <w:szCs w:val="24"/>
          <w:lang w:val="en-US"/>
        </w:rPr>
      </w:pPr>
      <w:r>
        <w:rPr>
          <w:rFonts w:cs="Arial" w:ascii="Arial" w:hAnsi="Arial"/>
          <w:sz w:val="24"/>
          <w:szCs w:val="24"/>
          <w:lang w:val="en-US"/>
        </w:rPr>
      </w:r>
    </w:p>
    <w:p>
      <w:pPr>
        <w:pStyle w:val="Normal"/>
        <w:spacing w:lineRule="auto" w:line="240"/>
        <w:jc w:val="center"/>
        <w:rPr/>
      </w:pPr>
      <w:r>
        <w:rPr>
          <w:rFonts w:ascii="Arial" w:hAnsi="Arial"/>
          <w:b/>
          <w:sz w:val="24"/>
          <w:szCs w:val="24"/>
        </w:rPr>
        <w:t>PARECER DA COMISSÃO DE ORÇAMENTO E FINANÇAS SOBRE A DEMONSTRAÇÃO E AVALIAÇÃO DAS METAS FISCAIS  DO 1</w:t>
      </w:r>
      <w:r>
        <w:rPr>
          <w:rFonts w:ascii="Arial" w:hAnsi="Arial"/>
          <w:b/>
          <w:strike/>
          <w:sz w:val="24"/>
          <w:szCs w:val="24"/>
        </w:rPr>
        <w:t>º</w:t>
      </w:r>
      <w:r>
        <w:rPr>
          <w:rFonts w:ascii="Arial" w:hAnsi="Arial"/>
          <w:b/>
          <w:sz w:val="24"/>
          <w:szCs w:val="24"/>
        </w:rPr>
        <w:t xml:space="preserve"> QUADRIMESTRE DE 2021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tbl>
      <w:tblPr>
        <w:tblW w:w="915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83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1496"/>
        <w:gridCol w:w="7653"/>
      </w:tblGrid>
      <w:tr>
        <w:trPr/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Parecer n</w:t>
            </w:r>
            <w:r>
              <w:rPr>
                <w:rFonts w:ascii="Arial" w:hAnsi="Arial"/>
                <w:b/>
                <w:i/>
                <w:iCs/>
                <w:strike/>
                <w:sz w:val="24"/>
                <w:szCs w:val="24"/>
              </w:rPr>
              <w:t>º</w:t>
            </w:r>
          </w:p>
        </w:tc>
        <w:tc>
          <w:tcPr>
            <w:tcW w:w="7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2/2021</w:t>
            </w:r>
          </w:p>
        </w:tc>
      </w:tr>
      <w:tr>
        <w:trPr/>
        <w:tc>
          <w:tcPr>
            <w:tcW w:w="14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b/>
                <w:i/>
                <w:iCs/>
                <w:sz w:val="24"/>
                <w:szCs w:val="24"/>
              </w:rPr>
              <w:t>Data:</w:t>
            </w:r>
          </w:p>
        </w:tc>
        <w:tc>
          <w:tcPr>
            <w:tcW w:w="76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both"/>
              <w:rPr/>
            </w:pPr>
            <w:r>
              <w:rPr>
                <w:rFonts w:eastAsia="Calibri" w:cs="Calibri" w:ascii="Arial" w:hAnsi="Arial"/>
                <w:b/>
                <w:i/>
                <w:iCs/>
                <w:color w:val="00000A"/>
                <w:kern w:val="0"/>
                <w:sz w:val="24"/>
                <w:szCs w:val="24"/>
                <w:lang w:val="pt-BR" w:eastAsia="zh-CN" w:bidi="ar-SA"/>
              </w:rPr>
              <w:t>27/05/2021</w:t>
            </w:r>
          </w:p>
        </w:tc>
      </w:tr>
    </w:tbl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RELATÓRIO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>I.</w:t>
        <w:tab/>
        <w:t xml:space="preserve">Trata, a presente matéria, de análise sobre o cumprimento das metas fiscais fixadas na Lei de Diretrizes do Município de Três Passos, Lei </w:t>
      </w:r>
      <w:r>
        <w:rPr>
          <w:rFonts w:ascii="Arial" w:hAnsi="Arial"/>
          <w:sz w:val="24"/>
          <w:szCs w:val="24"/>
        </w:rPr>
        <w:t>Municipal</w:t>
      </w:r>
      <w:r>
        <w:rPr>
          <w:rFonts w:ascii="Arial" w:hAnsi="Arial"/>
          <w:sz w:val="24"/>
          <w:szCs w:val="24"/>
        </w:rPr>
        <w:t xml:space="preserve">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trike w:val="false"/>
          <w:dstrike w:val="false"/>
          <w:sz w:val="24"/>
          <w:szCs w:val="24"/>
        </w:rPr>
        <w:t xml:space="preserve"> </w:t>
      </w:r>
      <w:r>
        <w:rPr>
          <w:rFonts w:ascii="Arial" w:hAnsi="Arial"/>
          <w:strike w:val="false"/>
          <w:dstrike w:val="false"/>
          <w:sz w:val="24"/>
          <w:szCs w:val="24"/>
        </w:rPr>
        <w:t xml:space="preserve">5.578, de 2020, </w:t>
      </w:r>
      <w:r>
        <w:rPr>
          <w:rFonts w:ascii="Arial" w:hAnsi="Arial"/>
          <w:sz w:val="24"/>
          <w:szCs w:val="24"/>
        </w:rPr>
        <w:t xml:space="preserve">nos termos da </w:t>
      </w:r>
      <w:r>
        <w:rPr>
          <w:rFonts w:ascii="Arial" w:hAnsi="Arial"/>
          <w:sz w:val="24"/>
          <w:szCs w:val="24"/>
        </w:rPr>
        <w:t>Lei Complementar</w:t>
      </w:r>
      <w:r>
        <w:rPr>
          <w:rFonts w:ascii="Arial" w:hAnsi="Arial"/>
          <w:sz w:val="24"/>
          <w:szCs w:val="24"/>
        </w:rPr>
        <w:t xml:space="preserve">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</w:t>
      </w:r>
      <w:r>
        <w:rPr>
          <w:rFonts w:ascii="Arial" w:hAnsi="Arial"/>
          <w:sz w:val="24"/>
          <w:szCs w:val="24"/>
        </w:rPr>
        <w:t>de 2000</w:t>
      </w:r>
      <w:r>
        <w:rPr>
          <w:rFonts w:ascii="Arial" w:hAnsi="Arial"/>
          <w:sz w:val="24"/>
          <w:szCs w:val="24"/>
        </w:rPr>
        <w:t>, art.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e art. 59.</w:t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ab/>
        <w:t>A Comissão de Orçamento e Finanças passa a analisar a formalidade e a materialidade da apresentação e avaliação das metas fiscais.</w:t>
      </w:r>
    </w:p>
    <w:p>
      <w:pPr>
        <w:pStyle w:val="Normal"/>
        <w:spacing w:lineRule="auto" w:line="240"/>
        <w:ind w:left="708" w:hanging="0"/>
        <w:jc w:val="both"/>
        <w:rPr>
          <w:rFonts w:ascii="Arial" w:hAnsi="Arial"/>
          <w:i/>
          <w:i/>
          <w:iCs/>
          <w:sz w:val="24"/>
          <w:szCs w:val="24"/>
        </w:rPr>
      </w:pPr>
      <w:r>
        <w:rPr>
          <w:rFonts w:ascii="Arial" w:hAnsi="Arial"/>
          <w:i/>
          <w:iCs/>
          <w:sz w:val="24"/>
          <w:szCs w:val="24"/>
        </w:rPr>
      </w:r>
    </w:p>
    <w:p>
      <w:pPr>
        <w:pStyle w:val="Normal"/>
        <w:spacing w:lineRule="auto" w:line="24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PARECER</w:t>
      </w:r>
    </w:p>
    <w:p>
      <w:pPr>
        <w:pStyle w:val="Normal"/>
        <w:spacing w:lineRule="auto" w:line="240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240"/>
        <w:jc w:val="both"/>
        <w:rPr/>
      </w:pPr>
      <w:r>
        <w:rPr>
          <w:rFonts w:ascii="Arial" w:hAnsi="Arial"/>
          <w:sz w:val="24"/>
          <w:szCs w:val="24"/>
        </w:rPr>
        <w:t xml:space="preserve">II. </w:t>
        <w:tab/>
        <w:t>Quanto à forma, verifica-se que o Poder Executivo se fez representar dentro do prazo previsto na LC n</w:t>
      </w:r>
      <w:r>
        <w:rPr>
          <w:rFonts w:ascii="Arial" w:hAnsi="Arial"/>
          <w:sz w:val="24"/>
          <w:szCs w:val="24"/>
          <w:u w:val="single"/>
          <w:vertAlign w:val="superscript"/>
        </w:rPr>
        <w:t>o</w:t>
      </w:r>
      <w:r>
        <w:rPr>
          <w:rFonts w:ascii="Arial" w:hAnsi="Arial"/>
          <w:sz w:val="24"/>
          <w:szCs w:val="24"/>
        </w:rPr>
        <w:t xml:space="preserve"> 101, art. 9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>, § 4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, para o </w:t>
      </w: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quadrimestre do exercício financeiro de 202</w:t>
      </w:r>
      <w:r>
        <w:rPr>
          <w:rFonts w:ascii="Arial" w:hAnsi="Arial"/>
          <w:sz w:val="24"/>
          <w:szCs w:val="24"/>
        </w:rPr>
        <w:t>1</w:t>
      </w:r>
      <w:r>
        <w:rPr>
          <w:rFonts w:ascii="Arial" w:hAnsi="Arial"/>
          <w:sz w:val="24"/>
          <w:szCs w:val="24"/>
        </w:rPr>
        <w:t xml:space="preserve">, sendo realizada a audiência na data de 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2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7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/0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5</w:t>
      </w:r>
      <w:r>
        <w:rPr>
          <w:rFonts w:eastAsia="Calibri" w:cs="Calibri" w:ascii="Arial" w:hAnsi="Arial"/>
          <w:color w:val="00000A"/>
          <w:kern w:val="0"/>
          <w:sz w:val="24"/>
          <w:szCs w:val="24"/>
          <w:lang w:val="pt-BR" w:eastAsia="zh-CN" w:bidi="ar-SA"/>
        </w:rPr>
        <w:t>/2021</w:t>
      </w:r>
      <w:r>
        <w:rPr>
          <w:rFonts w:ascii="Arial" w:hAnsi="Arial"/>
          <w:sz w:val="24"/>
          <w:szCs w:val="24"/>
        </w:rPr>
        <w:t xml:space="preserve"> conforme ata registrada sob 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2</w:t>
      </w:r>
      <w:r>
        <w:rPr>
          <w:rFonts w:ascii="Arial" w:hAnsi="Arial"/>
          <w:sz w:val="24"/>
          <w:szCs w:val="24"/>
        </w:rPr>
        <w:t>/21, bem como foram obedecidas as normas regimentais para a realização da audiência prevista na Resolução n</w:t>
      </w:r>
      <w:r>
        <w:rPr>
          <w:rFonts w:ascii="Arial" w:hAnsi="Arial"/>
          <w:strike/>
          <w:sz w:val="24"/>
          <w:szCs w:val="24"/>
        </w:rPr>
        <w:t>º</w:t>
      </w:r>
      <w:r>
        <w:rPr>
          <w:rFonts w:ascii="Arial" w:hAnsi="Arial"/>
          <w:sz w:val="24"/>
          <w:szCs w:val="24"/>
        </w:rPr>
        <w:t xml:space="preserve"> 3, </w:t>
      </w:r>
      <w:r>
        <w:rPr>
          <w:rFonts w:ascii="Arial" w:hAnsi="Arial"/>
          <w:sz w:val="24"/>
          <w:szCs w:val="24"/>
        </w:rPr>
        <w:t>de 2006</w:t>
      </w:r>
      <w:r>
        <w:rPr>
          <w:rFonts w:ascii="Arial" w:hAnsi="Arial"/>
          <w:sz w:val="24"/>
          <w:szCs w:val="24"/>
        </w:rPr>
        <w:t>.</w:t>
      </w:r>
    </w:p>
    <w:p>
      <w:pPr>
        <w:pStyle w:val="Normal"/>
        <w:spacing w:lineRule="auto" w:line="240" w:before="0" w:after="0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  <w:lang w:val="pt-BR" w:bidi="ar-SA"/>
        </w:rPr>
        <w:t xml:space="preserve">III.     </w:t>
      </w:r>
      <w:r>
        <w:rPr>
          <w:rFonts w:ascii="Arial" w:hAnsi="Arial"/>
          <w:sz w:val="24"/>
          <w:szCs w:val="24"/>
          <w:lang w:val="pt-BR" w:bidi="ar-SA"/>
        </w:rPr>
        <w:t>Em relação ao Resultado Primário, na</w:t>
      </w:r>
      <w:r>
        <w:rPr>
          <w:rFonts w:cs="Arial" w:ascii="Arial" w:hAnsi="Arial"/>
          <w:sz w:val="24"/>
          <w:szCs w:val="24"/>
          <w:lang w:val="pt-BR" w:bidi="ar-SA"/>
        </w:rPr>
        <w:t xml:space="preserve"> confrontação  das Receitas Arrecadadas com as Despesas Pagas, apuraram-se valores positivos, ou seja, enquanto as receitas do período registraram a cifra de R$ 28.621.159,55, as despesas contabilizaram a  soma  de  R$  22.398.863,37, proporcionando  um  super</w:t>
      </w:r>
      <w:r>
        <w:rPr>
          <w:rFonts w:cs="Arial" w:ascii="Arial" w:hAnsi="Arial"/>
          <w:sz w:val="24"/>
          <w:szCs w:val="24"/>
          <w:lang w:val="pt-BR" w:bidi="ar-SA"/>
        </w:rPr>
        <w:t>a</w:t>
      </w:r>
      <w:r>
        <w:rPr>
          <w:rFonts w:cs="Arial" w:ascii="Arial" w:hAnsi="Arial"/>
          <w:sz w:val="24"/>
          <w:szCs w:val="24"/>
          <w:lang w:val="pt-BR" w:bidi="ar-SA"/>
        </w:rPr>
        <w:t xml:space="preserve">vit de  R$ 6.222.296,18. Os dados do Resultado Primário registraram, </w:t>
      </w:r>
      <w:r>
        <w:rPr>
          <w:rFonts w:cs="Arial" w:ascii="Arial" w:hAnsi="Arial"/>
          <w:sz w:val="24"/>
          <w:szCs w:val="24"/>
          <w:lang w:val="pt-BR" w:bidi="ar-SA"/>
        </w:rPr>
        <w:t>portanto,</w:t>
      </w:r>
      <w:r>
        <w:rPr>
          <w:rFonts w:cs="Arial" w:ascii="Arial" w:hAnsi="Arial"/>
          <w:sz w:val="24"/>
          <w:szCs w:val="24"/>
          <w:lang w:val="pt-BR" w:bidi="ar-SA"/>
        </w:rPr>
        <w:t xml:space="preserve"> até o quadrimestre o valor de R$  6.222.296,18, enquanto que a previsão </w:t>
      </w:r>
      <w:r>
        <w:rPr>
          <w:rFonts w:cs="Arial" w:ascii="Arial" w:hAnsi="Arial"/>
          <w:sz w:val="24"/>
          <w:szCs w:val="24"/>
          <w:lang w:val="pt-BR" w:bidi="ar-SA"/>
        </w:rPr>
        <w:t xml:space="preserve">na </w:t>
      </w:r>
      <w:r>
        <w:rPr>
          <w:rFonts w:cs="Arial" w:ascii="Arial" w:hAnsi="Arial"/>
          <w:sz w:val="24"/>
          <w:szCs w:val="24"/>
          <w:lang w:val="pt-BR" w:bidi="ar-SA"/>
        </w:rPr>
        <w:t>LDO e de acordo com a programação financeira,  apontou  um  montante  de  R$ 500.000,00, ou seja, o valor apurado está acima da meta fixada.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pt-BR" w:bidi="ar-SA"/>
        </w:rPr>
        <w:tab/>
        <w:t xml:space="preserve"> 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IV. </w:t>
      </w:r>
      <w:r>
        <w:rPr>
          <w:rFonts w:ascii="Arial" w:hAnsi="Arial"/>
          <w:color w:val="FF0000"/>
          <w:sz w:val="24"/>
          <w:szCs w:val="24"/>
        </w:rPr>
        <w:t xml:space="preserve">  </w:t>
      </w:r>
      <w:r>
        <w:rPr>
          <w:rFonts w:ascii="Arial" w:hAnsi="Arial"/>
          <w:color w:val="auto"/>
          <w:sz w:val="24"/>
          <w:szCs w:val="24"/>
        </w:rPr>
        <w:t>Quanto ao Resultado Nominal, a Dívida Consolidada em 31/12/20 era de R$ 1.733.777,66, e até o final do 1</w:t>
      </w:r>
      <w:r>
        <w:rPr>
          <w:rFonts w:ascii="Arial" w:hAnsi="Arial"/>
          <w:strike/>
          <w:color w:val="auto"/>
          <w:sz w:val="24"/>
          <w:szCs w:val="24"/>
        </w:rPr>
        <w:t>º</w:t>
      </w:r>
      <w:r>
        <w:rPr>
          <w:rFonts w:ascii="Arial" w:hAnsi="Arial"/>
          <w:color w:val="auto"/>
          <w:sz w:val="24"/>
          <w:szCs w:val="24"/>
        </w:rPr>
        <w:t xml:space="preserve"> quadrimestre deste ano era de R$ 1.545.275,23. A Disponibilidade de Caixa até o final do período (30/04/21) foi de R$ 30.265.050,73. Então, tem-se um saldo de R$ 29.292.211,79, que comparado com o saldo apurado em 31/12/20, de R$ 22.515.354,18, resulta em uma diferença de R$ 6.776.857,61. Isso quer dizer que se poderia pagar toda a dívida, e sobraria ainda o montante de R$ 29.292.211,79. O Resultado Nominal, no quadrimestre, foi, portanto, de R$ 6.776.857,61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color w:val="auto"/>
          <w:sz w:val="24"/>
          <w:szCs w:val="24"/>
        </w:rPr>
        <w:t xml:space="preserve"> </w:t>
      </w:r>
      <w:r>
        <w:rPr>
          <w:rFonts w:ascii="Arial" w:hAnsi="Arial"/>
          <w:color w:val="auto"/>
          <w:sz w:val="24"/>
          <w:szCs w:val="24"/>
        </w:rPr>
        <w:tab/>
      </w:r>
    </w:p>
    <w:p>
      <w:pPr>
        <w:pStyle w:val="Corpodotexto"/>
        <w:spacing w:lineRule="auto" w:line="240" w:before="0" w:after="0"/>
        <w:jc w:val="both"/>
        <w:rPr/>
      </w:pPr>
      <w:r>
        <w:rPr>
          <w:rFonts w:ascii="Arial" w:hAnsi="Arial"/>
          <w:sz w:val="24"/>
          <w:szCs w:val="24"/>
        </w:rPr>
        <w:t xml:space="preserve">V.  Pelos fundamentos declinados neste Parecer, </w:t>
      </w:r>
      <w:r>
        <w:rPr>
          <w:rFonts w:ascii="Arial" w:hAnsi="Arial"/>
          <w:sz w:val="24"/>
          <w:szCs w:val="24"/>
        </w:rPr>
        <w:t>a Comissão</w:t>
      </w:r>
      <w:r>
        <w:rPr>
          <w:rFonts w:ascii="Arial" w:hAnsi="Arial"/>
          <w:sz w:val="24"/>
          <w:szCs w:val="24"/>
        </w:rPr>
        <w:t xml:space="preserve"> opina pela </w:t>
      </w:r>
      <w:r>
        <w:rPr>
          <w:rFonts w:ascii="Arial" w:hAnsi="Arial"/>
          <w:b/>
          <w:sz w:val="24"/>
          <w:szCs w:val="24"/>
        </w:rPr>
        <w:t>a</w:t>
      </w:r>
      <w:r>
        <w:rPr>
          <w:rFonts w:ascii="Arial" w:hAnsi="Arial"/>
          <w:b/>
          <w:bCs/>
          <w:sz w:val="24"/>
          <w:szCs w:val="24"/>
        </w:rPr>
        <w:t xml:space="preserve">dequação </w:t>
      </w:r>
      <w:r>
        <w:rPr>
          <w:rFonts w:ascii="Arial" w:hAnsi="Arial"/>
          <w:bCs/>
          <w:sz w:val="24"/>
          <w:szCs w:val="24"/>
        </w:rPr>
        <w:t xml:space="preserve">do cumprimento das metas fiscais no </w:t>
      </w:r>
      <w:r>
        <w:rPr>
          <w:rFonts w:ascii="Arial" w:hAnsi="Arial"/>
          <w:bCs/>
          <w:sz w:val="24"/>
          <w:szCs w:val="24"/>
        </w:rPr>
        <w:t>1</w:t>
      </w:r>
      <w:r>
        <w:rPr>
          <w:rFonts w:ascii="Arial" w:hAnsi="Arial"/>
          <w:bCs/>
          <w:strike/>
          <w:sz w:val="24"/>
          <w:szCs w:val="24"/>
        </w:rPr>
        <w:t>º</w:t>
      </w:r>
      <w:r>
        <w:rPr>
          <w:rFonts w:ascii="Arial" w:hAnsi="Arial"/>
          <w:bCs/>
          <w:sz w:val="24"/>
          <w:szCs w:val="24"/>
        </w:rPr>
        <w:t xml:space="preserve"> quadrimestre de 202</w:t>
      </w:r>
      <w:r>
        <w:rPr>
          <w:rFonts w:ascii="Arial" w:hAnsi="Arial"/>
          <w:bCs/>
          <w:sz w:val="24"/>
          <w:szCs w:val="24"/>
        </w:rPr>
        <w:t>1</w:t>
      </w:r>
      <w:r>
        <w:rPr>
          <w:rFonts w:ascii="Arial" w:hAnsi="Arial"/>
          <w:bCs/>
          <w:sz w:val="24"/>
          <w:szCs w:val="24"/>
        </w:rPr>
        <w:t xml:space="preserve">, em relação aos resultados primário e nominal, </w:t>
      </w:r>
      <w:r>
        <w:rPr>
          <w:rFonts w:cs="Arial" w:ascii="Arial" w:hAnsi="Arial"/>
          <w:bCs/>
          <w:sz w:val="24"/>
          <w:szCs w:val="24"/>
        </w:rPr>
        <w:t>bem como o atendimento aos requisitos da Lei de Responsabilidade Fiscal.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bCs/>
          <w:color w:val="FF0000"/>
          <w:sz w:val="24"/>
          <w:szCs w:val="24"/>
        </w:rPr>
      </w:pPr>
      <w:r>
        <w:rPr>
          <w:rFonts w:ascii="Arial" w:hAnsi="Arial"/>
          <w:bCs/>
          <w:color w:val="FF0000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Arial" w:hAnsi="Arial"/>
          <w:bCs/>
          <w:sz w:val="24"/>
          <w:szCs w:val="24"/>
        </w:rPr>
        <w:t xml:space="preserve">VI.    </w:t>
        <w:tab/>
        <w:t xml:space="preserve"> Segue o presente à Mesa Diretora </w:t>
      </w:r>
      <w:r>
        <w:rPr>
          <w:rFonts w:ascii="Arial" w:hAnsi="Arial"/>
          <w:bCs/>
          <w:sz w:val="24"/>
          <w:szCs w:val="24"/>
        </w:rPr>
        <w:t>da Câmara</w:t>
      </w:r>
      <w:r>
        <w:rPr>
          <w:rFonts w:ascii="Arial" w:hAnsi="Arial"/>
          <w:bCs/>
          <w:sz w:val="24"/>
          <w:szCs w:val="24"/>
        </w:rPr>
        <w:t xml:space="preserve"> para as providências necessárias, nos termos do art. 59 da LC 101, </w:t>
      </w:r>
      <w:r>
        <w:rPr>
          <w:rFonts w:ascii="Arial" w:hAnsi="Arial"/>
          <w:bCs/>
          <w:sz w:val="24"/>
          <w:szCs w:val="24"/>
        </w:rPr>
        <w:t>de 2000.</w:t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Ver. Fl</w:t>
      </w:r>
      <w:r>
        <w:rPr>
          <w:rFonts w:ascii="Arial" w:hAnsi="Arial"/>
          <w:sz w:val="24"/>
          <w:szCs w:val="24"/>
        </w:rPr>
        <w:t>a</w:t>
      </w:r>
      <w:r>
        <w:rPr>
          <w:rFonts w:ascii="Arial" w:hAnsi="Arial"/>
          <w:sz w:val="24"/>
          <w:szCs w:val="24"/>
        </w:rPr>
        <w:t>vio Habitzreiter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Presidente da COF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 xml:space="preserve">Ver. João </w:t>
      </w:r>
      <w:r>
        <w:rPr>
          <w:rFonts w:ascii="Arial" w:hAnsi="Arial"/>
          <w:sz w:val="24"/>
          <w:szCs w:val="24"/>
        </w:rPr>
        <w:t>R.</w:t>
      </w:r>
      <w:r>
        <w:rPr>
          <w:rFonts w:ascii="Arial" w:hAnsi="Arial"/>
          <w:sz w:val="24"/>
          <w:szCs w:val="24"/>
        </w:rPr>
        <w:t xml:space="preserve"> Boll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Vice-Presidente da COF</w:t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jc w:val="center"/>
        <w:rPr>
          <w:rFonts w:ascii="Arial" w:hAnsi="Arial"/>
          <w:sz w:val="24"/>
          <w:szCs w:val="24"/>
        </w:rPr>
      </w:pPr>
      <w:r>
        <w:rPr/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Ver. Edivan N. Baron</w:t>
      </w:r>
    </w:p>
    <w:p>
      <w:pPr>
        <w:pStyle w:val="Normal"/>
        <w:bidi w:val="0"/>
        <w:spacing w:lineRule="auto" w:line="240" w:before="0" w:after="0"/>
        <w:jc w:val="center"/>
        <w:rPr/>
      </w:pPr>
      <w:r>
        <w:rPr>
          <w:rFonts w:ascii="Arial" w:hAnsi="Arial"/>
          <w:sz w:val="24"/>
          <w:szCs w:val="24"/>
        </w:rPr>
        <w:t>Membro da COF</w:t>
      </w:r>
    </w:p>
    <w:sectPr>
      <w:type w:val="nextPage"/>
      <w:pgSz w:w="11906" w:h="16838"/>
      <w:pgMar w:left="1701" w:right="1134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Calibri"/>
      <w:color w:val="00000A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epargpadro7" w:customStyle="1">
    <w:name w:val="Fonte parág. padrão7"/>
    <w:qFormat/>
    <w:rPr/>
  </w:style>
  <w:style w:type="character" w:styleId="Fontepargpadro6" w:customStyle="1">
    <w:name w:val="Fonte parág. padrão6"/>
    <w:qFormat/>
    <w:rPr/>
  </w:style>
  <w:style w:type="character" w:styleId="Fontepargpadro5" w:customStyle="1">
    <w:name w:val="Fonte parág. padrão5"/>
    <w:qFormat/>
    <w:rPr/>
  </w:style>
  <w:style w:type="character" w:styleId="Fontepargpadro4" w:customStyle="1">
    <w:name w:val="Fonte parág. padrão4"/>
    <w:qFormat/>
    <w:rPr/>
  </w:style>
  <w:style w:type="character" w:styleId="Fontepargpadro3" w:customStyle="1">
    <w:name w:val="Fonte parág. padrão3"/>
    <w:qFormat/>
    <w:rPr/>
  </w:style>
  <w:style w:type="character" w:styleId="Fontepargpadro2" w:customStyle="1">
    <w:name w:val="Fonte parág. padrão2"/>
    <w:qFormat/>
    <w:rPr/>
  </w:style>
  <w:style w:type="character" w:styleId="Fontepargpadro1" w:customStyle="1">
    <w:name w:val="Fonte parág. padrão1"/>
    <w:qFormat/>
    <w:rPr/>
  </w:style>
  <w:style w:type="character" w:styleId="LinkdaInternet" w:customStyle="1">
    <w:name w:val="Link da Internet"/>
    <w:rPr>
      <w:color w:val="0563C1"/>
      <w:u w:val="single"/>
    </w:rPr>
  </w:style>
  <w:style w:type="character" w:styleId="Nfaseforte" w:customStyle="1">
    <w:name w:val="Ênfase forte"/>
    <w:qFormat/>
    <w:rPr>
      <w:b/>
      <w:bCs/>
    </w:rPr>
  </w:style>
  <w:style w:type="character" w:styleId="TextodebaloChar" w:customStyle="1">
    <w:name w:val="Texto de balão Char"/>
    <w:qFormat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tulo7" w:customStyle="1">
    <w:name w:val="Título7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6" w:customStyle="1">
    <w:name w:val="Título6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5" w:customStyle="1">
    <w:name w:val="Título5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4" w:customStyle="1">
    <w:name w:val="Título4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3" w:customStyle="1">
    <w:name w:val="Título3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2" w:customStyle="1">
    <w:name w:val="Título2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ormalWeb">
    <w:name w:val="Normal (Web)"/>
    <w:basedOn w:val="Normal"/>
    <w:qFormat/>
    <w:pPr>
      <w:spacing w:lineRule="auto" w:line="240" w:before="280" w:after="280"/>
      <w:ind w:firstLine="180"/>
      <w:jc w:val="both"/>
    </w:pPr>
    <w:rPr>
      <w:rFonts w:ascii="Times New Roman" w:hAnsi="Times New Roman" w:eastAsia="Times New Roman" w:cs="Times New Roman"/>
      <w:color w:val="303030"/>
      <w:sz w:val="27"/>
      <w:szCs w:val="27"/>
    </w:rPr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LibreOffice/6.1.0.3$Windows_X86_64 LibreOffice_project/efb621ed25068d70781dc026f7e9c5187a4decd1</Application>
  <Pages>2</Pages>
  <Words>455</Words>
  <Characters>2330</Characters>
  <CharactersWithSpaces>2795</CharactersWithSpaces>
  <Paragraphs>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2020-05-22T17:34:00Z</dcterms:created>
  <dc:creator>Usuário</dc:creator>
  <dc:description/>
  <dc:language>pt-BR</dc:language>
  <cp:lastModifiedBy/>
  <cp:lastPrinted>2018-10-10T15:13:00Z</cp:lastPrinted>
  <dcterms:modified xsi:type="dcterms:W3CDTF">2021-06-16T15:32:51Z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