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Arial" w:hAnsi="Arial" w:cs="Arial"/>
          <w:sz w:val="24"/>
          <w:szCs w:val="24"/>
          <w:lang w:eastAsia="pt-BR"/>
        </w:rPr>
      </w:pPr>
      <w:r>
        <w:rPr>
          <w:rFonts w:cs="Arial" w:ascii="Arial" w:hAnsi="Arial"/>
          <w:sz w:val="24"/>
          <w:szCs w:val="24"/>
          <w:lang w:eastAsia="pt-BR"/>
        </w:rPr>
        <w:drawing>
          <wp:anchor behindDoc="0" distT="0" distB="0" distL="114935" distR="114935" simplePos="0" locked="0" layoutInCell="0" allowOverlap="1" relativeHeight="2">
            <wp:simplePos x="0" y="0"/>
            <wp:positionH relativeFrom="margin">
              <wp:align>center</wp:align>
            </wp:positionH>
            <wp:positionV relativeFrom="paragraph">
              <wp:posOffset>6985</wp:posOffset>
            </wp:positionV>
            <wp:extent cx="880110" cy="108331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197" t="-164" r="-197" b="-164"/>
                    <a:stretch>
                      <a:fillRect/>
                    </a:stretch>
                  </pic:blipFill>
                  <pic:spPr bwMode="auto">
                    <a:xfrm>
                      <a:off x="0" y="0"/>
                      <a:ext cx="880110" cy="1083310"/>
                    </a:xfrm>
                    <a:prstGeom prst="rect">
                      <a:avLst/>
                    </a:prstGeom>
                  </pic:spPr>
                </pic:pic>
              </a:graphicData>
            </a:graphic>
          </wp:anchor>
        </w:drawing>
      </w:r>
    </w:p>
    <w:p>
      <w:pPr>
        <w:pStyle w:val="Normal"/>
        <w:jc w:val="center"/>
        <w:rPr>
          <w:rFonts w:ascii="Arial" w:hAnsi="Arial" w:cs="Arial"/>
          <w:sz w:val="24"/>
          <w:szCs w:val="24"/>
          <w:lang w:eastAsia="pt-BR"/>
        </w:rPr>
      </w:pPr>
      <w:r>
        <w:rPr>
          <w:rFonts w:cs="Arial" w:ascii="Arial" w:hAnsi="Arial"/>
          <w:sz w:val="24"/>
          <w:szCs w:val="24"/>
          <w:lang w:eastAsia="pt-BR"/>
        </w:rPr>
      </w:r>
    </w:p>
    <w:p>
      <w:pPr>
        <w:pStyle w:val="Normal"/>
        <w:jc w:val="center"/>
        <w:rPr>
          <w:rFonts w:ascii="Arial" w:hAnsi="Arial" w:cs="Arial"/>
          <w:sz w:val="24"/>
          <w:szCs w:val="24"/>
          <w:lang w:eastAsia="pt-BR"/>
        </w:rPr>
      </w:pPr>
      <w:r>
        <w:rPr>
          <w:rFonts w:cs="Arial" w:ascii="Arial" w:hAnsi="Arial"/>
          <w:sz w:val="24"/>
          <w:szCs w:val="24"/>
          <w:lang w:eastAsia="pt-BR"/>
        </w:rPr>
      </w:r>
      <w:bookmarkStart w:id="0" w:name="_GoBack"/>
      <w:bookmarkStart w:id="1" w:name="_GoBack"/>
      <w:bookmarkEnd w:id="1"/>
    </w:p>
    <w:p>
      <w:pPr>
        <w:pStyle w:val="Normal"/>
        <w:jc w:val="center"/>
        <w:rPr>
          <w:rFonts w:ascii="Arial" w:hAnsi="Arial" w:cs="Arial"/>
          <w:sz w:val="24"/>
          <w:szCs w:val="24"/>
          <w:lang w:eastAsia="pt-BR"/>
        </w:rPr>
      </w:pPr>
      <w:r>
        <w:rPr>
          <w:rFonts w:cs="Arial" w:ascii="Arial" w:hAnsi="Arial"/>
          <w:sz w:val="24"/>
          <w:szCs w:val="24"/>
          <w:lang w:eastAsia="pt-BR"/>
        </w:rPr>
      </w:r>
    </w:p>
    <w:p>
      <w:pPr>
        <w:pStyle w:val="Normal"/>
        <w:jc w:val="center"/>
        <w:rPr>
          <w:rFonts w:ascii="Arial" w:hAnsi="Arial" w:cs="Arial"/>
          <w:sz w:val="24"/>
          <w:szCs w:val="24"/>
          <w:lang w:eastAsia="pt-BR"/>
        </w:rPr>
      </w:pPr>
      <w:r>
        <w:rPr>
          <w:rFonts w:cs="Arial" w:ascii="Arial" w:hAnsi="Arial"/>
          <w:sz w:val="24"/>
          <w:szCs w:val="24"/>
          <w:lang w:eastAsia="pt-BR"/>
        </w:rPr>
        <mc:AlternateContent>
          <mc:Choice Requires="wps">
            <w:drawing>
              <wp:anchor behindDoc="0" distT="0" distB="0" distL="0" distR="0" simplePos="0" locked="0" layoutInCell="0" allowOverlap="1" relativeHeight="3">
                <wp:simplePos x="0" y="0"/>
                <wp:positionH relativeFrom="column">
                  <wp:posOffset>549910</wp:posOffset>
                </wp:positionH>
                <wp:positionV relativeFrom="paragraph">
                  <wp:posOffset>27940</wp:posOffset>
                </wp:positionV>
                <wp:extent cx="4392930" cy="1061720"/>
                <wp:effectExtent l="0" t="0" r="0" b="0"/>
                <wp:wrapNone/>
                <wp:docPr id="2" name="Quadro1"/>
                <a:graphic xmlns:a="http://schemas.openxmlformats.org/drawingml/2006/main">
                  <a:graphicData uri="http://schemas.microsoft.com/office/word/2010/wordprocessingShape">
                    <wps:wsp>
                      <wps:cNvSpPr/>
                      <wps:spPr>
                        <a:xfrm>
                          <a:off x="0" y="0"/>
                          <a:ext cx="4392360" cy="1060920"/>
                        </a:xfrm>
                        <a:prstGeom prst="rect">
                          <a:avLst/>
                        </a:prstGeom>
                        <a:solidFill>
                          <a:srgbClr val="ffffff"/>
                        </a:solidFill>
                        <a:ln w="0">
                          <a:noFill/>
                        </a:ln>
                      </wps:spPr>
                      <wps:style>
                        <a:lnRef idx="0"/>
                        <a:fillRef idx="0"/>
                        <a:effectRef idx="0"/>
                        <a:fontRef idx="minor"/>
                      </wps:style>
                      <wps:txbx>
                        <w:txbxContent>
                          <w:p>
                            <w:pPr>
                              <w:pStyle w:val="Contedodoquadro"/>
                              <w:widowControl/>
                              <w:tabs>
                                <w:tab w:val="clear" w:pos="708"/>
                                <w:tab w:val="left" w:pos="5893" w:leader="none"/>
                              </w:tabs>
                              <w:suppressAutoHyphens w:val="true"/>
                              <w:bidi w:val="0"/>
                              <w:spacing w:lineRule="auto" w:line="240" w:before="0" w:after="0"/>
                              <w:ind w:left="0" w:right="1077" w:hanging="0"/>
                              <w:jc w:val="center"/>
                              <w:rPr>
                                <w:b/>
                                <w:b/>
                              </w:rPr>
                            </w:pPr>
                            <w:r>
                              <w:rPr>
                                <w:b/>
                              </w:rPr>
                            </w:r>
                          </w:p>
                          <w:p>
                            <w:pPr>
                              <w:pStyle w:val="Contedodoquadro"/>
                              <w:widowControl/>
                              <w:suppressAutoHyphens w:val="true"/>
                              <w:bidi w:val="0"/>
                              <w:spacing w:lineRule="auto" w:line="240" w:before="0" w:after="0"/>
                              <w:ind w:left="0" w:right="170" w:hanging="0"/>
                              <w:jc w:val="center"/>
                              <w:rPr>
                                <w:b/>
                                <w:b/>
                              </w:rPr>
                            </w:pPr>
                            <w:r>
                              <w:rPr>
                                <w:b/>
                                <w:color w:val="000000"/>
                              </w:rPr>
                              <w:t>Estado do Rio Grande do Sul</w:t>
                            </w:r>
                          </w:p>
                          <w:p>
                            <w:pPr>
                              <w:pStyle w:val="Contedodoquadro"/>
                              <w:pBdr>
                                <w:bottom w:val="single" w:sz="12" w:space="1" w:color="000001"/>
                              </w:pBdr>
                              <w:spacing w:lineRule="auto" w:line="240" w:before="0" w:after="0"/>
                              <w:jc w:val="center"/>
                              <w:rPr>
                                <w:b/>
                                <w:b/>
                                <w:sz w:val="24"/>
                                <w:szCs w:val="24"/>
                              </w:rPr>
                            </w:pPr>
                            <w:r>
                              <w:rPr>
                                <w:b/>
                                <w:color w:val="000000"/>
                                <w:sz w:val="24"/>
                                <w:szCs w:val="24"/>
                              </w:rPr>
                              <w:t>Câmara Municipal de Três Passos</w:t>
                            </w:r>
                          </w:p>
                          <w:p>
                            <w:pPr>
                              <w:pStyle w:val="Contedodoquadro"/>
                              <w:spacing w:lineRule="auto" w:line="240" w:before="0" w:after="0"/>
                              <w:jc w:val="center"/>
                              <w:rPr>
                                <w:sz w:val="20"/>
                                <w:szCs w:val="20"/>
                              </w:rPr>
                            </w:pPr>
                            <w:r>
                              <w:rPr>
                                <w:color w:val="000000"/>
                                <w:sz w:val="20"/>
                                <w:szCs w:val="20"/>
                              </w:rPr>
                              <w:t>Comissão de Constituição, Redação e Bem-Estar Social</w:t>
                            </w:r>
                          </w:p>
                          <w:p>
                            <w:pPr>
                              <w:pStyle w:val="Contedodoquadro"/>
                              <w:spacing w:lineRule="auto" w:line="240" w:before="0" w:after="0"/>
                              <w:jc w:val="center"/>
                              <w:rPr/>
                            </w:pPr>
                            <w:r>
                              <w:rPr>
                                <w:color w:val="000000"/>
                                <w:sz w:val="20"/>
                                <w:szCs w:val="20"/>
                              </w:rPr>
                              <w:t>Comissão de Orçamento, Finanças e Infraestrutura Urbana e Rural</w:t>
                            </w:r>
                          </w:p>
                        </w:txbxContent>
                      </wps:txbx>
                      <wps:bodyPr lIns="97920" rIns="97920" tIns="52200" bIns="52200">
                        <a:noAutofit/>
                      </wps:bodyPr>
                    </wps:wsp>
                  </a:graphicData>
                </a:graphic>
              </wp:anchor>
            </w:drawing>
          </mc:Choice>
          <mc:Fallback>
            <w:pict>
              <v:rect id="shape_0" ID="Quadro1" fillcolor="white" stroked="f" style="position:absolute;margin-left:43.3pt;margin-top:2.2pt;width:345.8pt;height:83.5pt;v-text-anchor:top">
                <w10:wrap type="none"/>
                <v:fill o:detectmouseclick="t" type="solid" color2="black"/>
                <v:stroke color="#3465a4" joinstyle="round" endcap="flat"/>
                <v:textbox>
                  <w:txbxContent>
                    <w:p>
                      <w:pPr>
                        <w:pStyle w:val="Contedodoquadro"/>
                        <w:widowControl/>
                        <w:tabs>
                          <w:tab w:val="clear" w:pos="708"/>
                          <w:tab w:val="left" w:pos="5893" w:leader="none"/>
                        </w:tabs>
                        <w:suppressAutoHyphens w:val="true"/>
                        <w:bidi w:val="0"/>
                        <w:spacing w:lineRule="auto" w:line="240" w:before="0" w:after="0"/>
                        <w:ind w:left="0" w:right="1077" w:hanging="0"/>
                        <w:jc w:val="center"/>
                        <w:rPr>
                          <w:b/>
                          <w:b/>
                        </w:rPr>
                      </w:pPr>
                      <w:r>
                        <w:rPr>
                          <w:b/>
                        </w:rPr>
                      </w:r>
                    </w:p>
                    <w:p>
                      <w:pPr>
                        <w:pStyle w:val="Contedodoquadro"/>
                        <w:widowControl/>
                        <w:suppressAutoHyphens w:val="true"/>
                        <w:bidi w:val="0"/>
                        <w:spacing w:lineRule="auto" w:line="240" w:before="0" w:after="0"/>
                        <w:ind w:left="0" w:right="170" w:hanging="0"/>
                        <w:jc w:val="center"/>
                        <w:rPr>
                          <w:b/>
                          <w:b/>
                        </w:rPr>
                      </w:pPr>
                      <w:r>
                        <w:rPr>
                          <w:b/>
                          <w:color w:val="000000"/>
                        </w:rPr>
                        <w:t>Estado do Rio Grande do Sul</w:t>
                      </w:r>
                    </w:p>
                    <w:p>
                      <w:pPr>
                        <w:pStyle w:val="Contedodoquadro"/>
                        <w:pBdr>
                          <w:bottom w:val="single" w:sz="12" w:space="1" w:color="000001"/>
                        </w:pBdr>
                        <w:spacing w:lineRule="auto" w:line="240" w:before="0" w:after="0"/>
                        <w:jc w:val="center"/>
                        <w:rPr>
                          <w:b/>
                          <w:b/>
                          <w:sz w:val="24"/>
                          <w:szCs w:val="24"/>
                        </w:rPr>
                      </w:pPr>
                      <w:r>
                        <w:rPr>
                          <w:b/>
                          <w:color w:val="000000"/>
                          <w:sz w:val="24"/>
                          <w:szCs w:val="24"/>
                        </w:rPr>
                        <w:t>Câmara Municipal de Três Passos</w:t>
                      </w:r>
                    </w:p>
                    <w:p>
                      <w:pPr>
                        <w:pStyle w:val="Contedodoquadro"/>
                        <w:spacing w:lineRule="auto" w:line="240" w:before="0" w:after="0"/>
                        <w:jc w:val="center"/>
                        <w:rPr>
                          <w:sz w:val="20"/>
                          <w:szCs w:val="20"/>
                        </w:rPr>
                      </w:pPr>
                      <w:r>
                        <w:rPr>
                          <w:color w:val="000000"/>
                          <w:sz w:val="20"/>
                          <w:szCs w:val="20"/>
                        </w:rPr>
                        <w:t>Comissão de Constituição, Redação e Bem-Estar Social</w:t>
                      </w:r>
                    </w:p>
                    <w:p>
                      <w:pPr>
                        <w:pStyle w:val="Contedodoquadro"/>
                        <w:spacing w:lineRule="auto" w:line="240" w:before="0" w:after="0"/>
                        <w:jc w:val="center"/>
                        <w:rPr/>
                      </w:pPr>
                      <w:r>
                        <w:rPr>
                          <w:color w:val="000000"/>
                          <w:sz w:val="20"/>
                          <w:szCs w:val="20"/>
                        </w:rPr>
                        <w:t>Comissão de Orçamento, Finanças e Infraestrutura Urbana e Rural</w:t>
                      </w:r>
                    </w:p>
                  </w:txbxContent>
                </v:textbox>
              </v:rect>
            </w:pict>
          </mc:Fallback>
        </mc:AlternateContent>
      </w:r>
    </w:p>
    <w:p>
      <w:pPr>
        <w:pStyle w:val="Normal"/>
        <w:jc w:val="center"/>
        <w:rPr>
          <w:rFonts w:ascii="Arial" w:hAnsi="Arial" w:cs="Arial"/>
          <w:sz w:val="24"/>
          <w:szCs w:val="24"/>
          <w:lang w:eastAsia="pt-BR"/>
        </w:rPr>
      </w:pPr>
      <w:r>
        <w:rPr>
          <w:rFonts w:cs="Arial" w:ascii="Arial" w:hAnsi="Arial"/>
          <w:sz w:val="24"/>
          <w:szCs w:val="24"/>
          <w:lang w:eastAsia="pt-BR"/>
        </w:rPr>
      </w:r>
    </w:p>
    <w:p>
      <w:pPr>
        <w:pStyle w:val="Normal"/>
        <w:jc w:val="center"/>
        <w:rPr>
          <w:rFonts w:ascii="Arial" w:hAnsi="Arial" w:cs="Arial"/>
          <w:sz w:val="24"/>
          <w:szCs w:val="24"/>
          <w:lang w:eastAsia="pt-BR"/>
        </w:rPr>
      </w:pPr>
      <w:r>
        <w:rPr>
          <w:rFonts w:cs="Arial" w:ascii="Arial" w:hAnsi="Arial"/>
          <w:sz w:val="24"/>
          <w:szCs w:val="24"/>
          <w:lang w:eastAsia="pt-BR"/>
        </w:rPr>
      </w:r>
    </w:p>
    <w:p>
      <w:pPr>
        <w:pStyle w:val="Normal"/>
        <w:tabs>
          <w:tab w:val="clear" w:pos="708"/>
          <w:tab w:val="left" w:pos="4400" w:leader="none"/>
        </w:tabs>
        <w:rPr/>
      </w:pPr>
      <w:r>
        <w:rPr>
          <w:rFonts w:cs="Arial" w:ascii="Arial" w:hAnsi="Arial"/>
          <w:sz w:val="24"/>
          <w:szCs w:val="24"/>
        </w:rPr>
        <w:tab/>
      </w:r>
    </w:p>
    <w:p>
      <w:pPr>
        <w:pStyle w:val="Normal"/>
        <w:tabs>
          <w:tab w:val="clear" w:pos="708"/>
          <w:tab w:val="left" w:pos="4400" w:leader="none"/>
        </w:tabs>
        <w:rPr>
          <w:rFonts w:ascii="Arial" w:hAnsi="Arial" w:cs="Arial"/>
          <w:sz w:val="24"/>
          <w:szCs w:val="24"/>
          <w:lang w:val="en-US"/>
        </w:rPr>
      </w:pPr>
      <w:r>
        <w:rPr>
          <w:rFonts w:cs="Arial" w:ascii="Arial" w:hAnsi="Arial"/>
          <w:sz w:val="24"/>
          <w:szCs w:val="24"/>
          <w:lang w:val="en-US"/>
        </w:rPr>
      </w:r>
    </w:p>
    <w:p>
      <w:pPr>
        <w:pStyle w:val="Normal"/>
        <w:spacing w:lineRule="auto" w:line="240"/>
        <w:jc w:val="center"/>
        <w:rPr/>
      </w:pPr>
      <w:r>
        <w:rPr>
          <w:rFonts w:ascii="Arial" w:hAnsi="Arial"/>
          <w:b/>
          <w:sz w:val="24"/>
          <w:szCs w:val="24"/>
        </w:rPr>
        <w:t>PARECER DA COMISSÃO DE ORÇAMENTO E FINANÇAS SOBRE A DEMONSTRAÇÃO E AVALIAÇÃO DAS METAS FISCAIS  DO 2</w:t>
      </w:r>
      <w:r>
        <w:rPr>
          <w:rFonts w:ascii="Arial" w:hAnsi="Arial"/>
          <w:b/>
          <w:strike/>
          <w:sz w:val="24"/>
          <w:szCs w:val="24"/>
        </w:rPr>
        <w:t>º</w:t>
      </w:r>
      <w:r>
        <w:rPr>
          <w:rFonts w:ascii="Arial" w:hAnsi="Arial"/>
          <w:b/>
          <w:sz w:val="24"/>
          <w:szCs w:val="24"/>
        </w:rPr>
        <w:t xml:space="preserve"> QUADRIMESTRE DE 2021</w:t>
      </w:r>
    </w:p>
    <w:p>
      <w:pPr>
        <w:pStyle w:val="Normal"/>
        <w:spacing w:lineRule="auto" w:line="240"/>
        <w:jc w:val="center"/>
        <w:rPr>
          <w:b/>
          <w:b/>
        </w:rPr>
      </w:pPr>
      <w:r>
        <w:rPr>
          <w:b/>
        </w:rPr>
      </w:r>
    </w:p>
    <w:tbl>
      <w:tblPr>
        <w:tblW w:w="9150" w:type="dxa"/>
        <w:jc w:val="left"/>
        <w:tblInd w:w="0" w:type="dxa"/>
        <w:tblLayout w:type="fixed"/>
        <w:tblCellMar>
          <w:top w:w="0" w:type="dxa"/>
          <w:left w:w="83" w:type="dxa"/>
          <w:bottom w:w="0" w:type="dxa"/>
          <w:right w:w="108" w:type="dxa"/>
        </w:tblCellMar>
        <w:tblLook w:firstRow="1" w:noVBand="0" w:lastRow="1" w:firstColumn="1" w:lastColumn="1" w:noHBand="0" w:val="01e0"/>
      </w:tblPr>
      <w:tblGrid>
        <w:gridCol w:w="1496"/>
        <w:gridCol w:w="7653"/>
      </w:tblGrid>
      <w:tr>
        <w:trPr/>
        <w:tc>
          <w:tcPr>
            <w:tcW w:w="149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both"/>
              <w:rPr>
                <w:rFonts w:ascii="Arial" w:hAnsi="Arial"/>
                <w:sz w:val="24"/>
                <w:szCs w:val="24"/>
              </w:rPr>
            </w:pPr>
            <w:r>
              <w:rPr>
                <w:rFonts w:ascii="Arial" w:hAnsi="Arial"/>
                <w:b/>
                <w:i/>
                <w:iCs/>
                <w:sz w:val="24"/>
                <w:szCs w:val="24"/>
              </w:rPr>
              <w:t>Parecer n</w:t>
            </w:r>
            <w:r>
              <w:rPr>
                <w:rFonts w:ascii="Arial" w:hAnsi="Arial"/>
                <w:b/>
                <w:i/>
                <w:iCs/>
                <w:strike/>
                <w:sz w:val="24"/>
                <w:szCs w:val="24"/>
              </w:rPr>
              <w:t>º</w:t>
            </w:r>
          </w:p>
        </w:tc>
        <w:tc>
          <w:tcPr>
            <w:tcW w:w="76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both"/>
              <w:rPr/>
            </w:pPr>
            <w:r>
              <w:rPr>
                <w:rFonts w:ascii="Arial" w:hAnsi="Arial"/>
                <w:b/>
                <w:i/>
                <w:iCs/>
                <w:sz w:val="24"/>
                <w:szCs w:val="24"/>
              </w:rPr>
              <w:t>3/2021</w:t>
            </w:r>
          </w:p>
        </w:tc>
      </w:tr>
      <w:tr>
        <w:trPr/>
        <w:tc>
          <w:tcPr>
            <w:tcW w:w="1496"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both"/>
              <w:rPr>
                <w:rFonts w:ascii="Arial" w:hAnsi="Arial"/>
                <w:sz w:val="24"/>
                <w:szCs w:val="24"/>
              </w:rPr>
            </w:pPr>
            <w:r>
              <w:rPr>
                <w:rFonts w:ascii="Arial" w:hAnsi="Arial"/>
                <w:b/>
                <w:i/>
                <w:iCs/>
                <w:sz w:val="24"/>
                <w:szCs w:val="24"/>
              </w:rPr>
              <w:t>Data:</w:t>
            </w:r>
          </w:p>
        </w:tc>
        <w:tc>
          <w:tcPr>
            <w:tcW w:w="7653" w:type="dxa"/>
            <w:tcBorders>
              <w:top w:val="single" w:sz="4" w:space="0" w:color="00000A"/>
              <w:left w:val="single" w:sz="4" w:space="0" w:color="00000A"/>
              <w:bottom w:val="single" w:sz="4" w:space="0" w:color="00000A"/>
              <w:right w:val="single" w:sz="4" w:space="0" w:color="00000A"/>
            </w:tcBorders>
            <w:shd w:fill="auto" w:val="clear"/>
          </w:tcPr>
          <w:p>
            <w:pPr>
              <w:pStyle w:val="Normal"/>
              <w:widowControl w:val="false"/>
              <w:spacing w:lineRule="auto" w:line="240" w:before="0" w:after="0"/>
              <w:jc w:val="both"/>
              <w:rPr/>
            </w:pPr>
            <w:r>
              <w:rPr>
                <w:rFonts w:eastAsia="Calibri" w:cs="Calibri" w:ascii="Arial" w:hAnsi="Arial"/>
                <w:b/>
                <w:i/>
                <w:iCs/>
                <w:color w:val="00000A"/>
                <w:kern w:val="0"/>
                <w:sz w:val="24"/>
                <w:szCs w:val="24"/>
                <w:lang w:val="pt-BR" w:eastAsia="zh-CN" w:bidi="ar-SA"/>
              </w:rPr>
              <w:t>29/09/2021</w:t>
            </w:r>
          </w:p>
        </w:tc>
      </w:tr>
    </w:tbl>
    <w:p>
      <w:pPr>
        <w:pStyle w:val="Normal"/>
        <w:spacing w:lineRule="auto" w:line="240"/>
        <w:jc w:val="center"/>
        <w:rPr>
          <w:rFonts w:ascii="Arial" w:hAnsi="Arial"/>
          <w:sz w:val="24"/>
          <w:szCs w:val="24"/>
        </w:rPr>
      </w:pPr>
      <w:r>
        <w:rPr>
          <w:rFonts w:ascii="Arial" w:hAnsi="Arial"/>
          <w:sz w:val="24"/>
          <w:szCs w:val="24"/>
        </w:rPr>
      </w:r>
    </w:p>
    <w:p>
      <w:pPr>
        <w:pStyle w:val="Normal"/>
        <w:spacing w:lineRule="auto" w:line="240"/>
        <w:jc w:val="center"/>
        <w:rPr>
          <w:rFonts w:ascii="Arial" w:hAnsi="Arial"/>
          <w:sz w:val="24"/>
          <w:szCs w:val="24"/>
        </w:rPr>
      </w:pPr>
      <w:r>
        <w:rPr>
          <w:rFonts w:ascii="Arial" w:hAnsi="Arial"/>
          <w:b/>
          <w:sz w:val="24"/>
          <w:szCs w:val="24"/>
        </w:rPr>
        <w:t>RELATÓRIO</w:t>
      </w:r>
    </w:p>
    <w:p>
      <w:pPr>
        <w:pStyle w:val="Normal"/>
        <w:spacing w:lineRule="auto" w:line="240"/>
        <w:jc w:val="both"/>
        <w:rPr>
          <w:rFonts w:ascii="Arial" w:hAnsi="Arial"/>
          <w:sz w:val="24"/>
          <w:szCs w:val="24"/>
        </w:rPr>
      </w:pPr>
      <w:r>
        <w:rPr>
          <w:rFonts w:ascii="Arial" w:hAnsi="Arial"/>
          <w:sz w:val="24"/>
          <w:szCs w:val="24"/>
        </w:rPr>
      </w:r>
    </w:p>
    <w:p>
      <w:pPr>
        <w:pStyle w:val="Normal"/>
        <w:spacing w:lineRule="auto" w:line="240"/>
        <w:jc w:val="both"/>
        <w:rPr/>
      </w:pPr>
      <w:r>
        <w:rPr>
          <w:rFonts w:ascii="Arial" w:hAnsi="Arial"/>
          <w:sz w:val="24"/>
          <w:szCs w:val="24"/>
        </w:rPr>
        <w:t>I.</w:t>
        <w:tab/>
        <w:t>Trata, a presente matéria, de análise sobre o cumprimento das metas fiscais fixadas na Lei de Diretrizes do Município de Três Passos, Lei Municipal n</w:t>
      </w:r>
      <w:r>
        <w:rPr>
          <w:rFonts w:ascii="Arial" w:hAnsi="Arial"/>
          <w:strike/>
          <w:sz w:val="24"/>
          <w:szCs w:val="24"/>
        </w:rPr>
        <w:t>º</w:t>
      </w:r>
      <w:r>
        <w:rPr>
          <w:rFonts w:ascii="Arial" w:hAnsi="Arial"/>
          <w:strike w:val="false"/>
          <w:dstrike w:val="false"/>
          <w:sz w:val="24"/>
          <w:szCs w:val="24"/>
        </w:rPr>
        <w:t xml:space="preserve"> 5.578, de 2020, </w:t>
      </w:r>
      <w:r>
        <w:rPr>
          <w:rFonts w:ascii="Arial" w:hAnsi="Arial"/>
          <w:sz w:val="24"/>
          <w:szCs w:val="24"/>
        </w:rPr>
        <w:t>nos termos da Lei Complementar n</w:t>
      </w:r>
      <w:r>
        <w:rPr>
          <w:rFonts w:ascii="Arial" w:hAnsi="Arial"/>
          <w:sz w:val="24"/>
          <w:szCs w:val="24"/>
          <w:u w:val="single"/>
          <w:vertAlign w:val="superscript"/>
        </w:rPr>
        <w:t>o</w:t>
      </w:r>
      <w:r>
        <w:rPr>
          <w:rFonts w:ascii="Arial" w:hAnsi="Arial"/>
          <w:sz w:val="24"/>
          <w:szCs w:val="24"/>
        </w:rPr>
        <w:t xml:space="preserve"> 101, de 2000, art. 4</w:t>
      </w:r>
      <w:r>
        <w:rPr>
          <w:rFonts w:ascii="Arial" w:hAnsi="Arial"/>
          <w:strike/>
          <w:sz w:val="24"/>
          <w:szCs w:val="24"/>
        </w:rPr>
        <w:t>º</w:t>
      </w:r>
      <w:r>
        <w:rPr>
          <w:rFonts w:ascii="Arial" w:hAnsi="Arial"/>
          <w:sz w:val="24"/>
          <w:szCs w:val="24"/>
        </w:rPr>
        <w:t>, §1</w:t>
      </w:r>
      <w:r>
        <w:rPr>
          <w:rFonts w:ascii="Arial" w:hAnsi="Arial"/>
          <w:strike/>
          <w:sz w:val="24"/>
          <w:szCs w:val="24"/>
        </w:rPr>
        <w:t>º</w:t>
      </w:r>
      <w:r>
        <w:rPr>
          <w:rFonts w:ascii="Arial" w:hAnsi="Arial"/>
          <w:sz w:val="24"/>
          <w:szCs w:val="24"/>
        </w:rPr>
        <w:t>, art. 9</w:t>
      </w:r>
      <w:r>
        <w:rPr>
          <w:rFonts w:ascii="Arial" w:hAnsi="Arial"/>
          <w:strike/>
          <w:sz w:val="24"/>
          <w:szCs w:val="24"/>
        </w:rPr>
        <w:t>º</w:t>
      </w:r>
      <w:r>
        <w:rPr>
          <w:rFonts w:ascii="Arial" w:hAnsi="Arial"/>
          <w:sz w:val="24"/>
          <w:szCs w:val="24"/>
        </w:rPr>
        <w:t>, § 4</w:t>
      </w:r>
      <w:r>
        <w:rPr>
          <w:rFonts w:ascii="Arial" w:hAnsi="Arial"/>
          <w:strike/>
          <w:sz w:val="24"/>
          <w:szCs w:val="24"/>
        </w:rPr>
        <w:t>º</w:t>
      </w:r>
      <w:r>
        <w:rPr>
          <w:rFonts w:ascii="Arial" w:hAnsi="Arial"/>
          <w:sz w:val="24"/>
          <w:szCs w:val="24"/>
        </w:rPr>
        <w:t xml:space="preserve"> e art. 59.</w:t>
      </w:r>
    </w:p>
    <w:p>
      <w:pPr>
        <w:pStyle w:val="Normal"/>
        <w:spacing w:lineRule="auto" w:line="240"/>
        <w:jc w:val="both"/>
        <w:rPr>
          <w:rFonts w:ascii="Arial" w:hAnsi="Arial"/>
          <w:sz w:val="24"/>
          <w:szCs w:val="24"/>
        </w:rPr>
      </w:pPr>
      <w:r>
        <w:rPr>
          <w:rFonts w:ascii="Arial" w:hAnsi="Arial"/>
          <w:sz w:val="24"/>
          <w:szCs w:val="24"/>
        </w:rPr>
      </w:r>
    </w:p>
    <w:p>
      <w:pPr>
        <w:pStyle w:val="Normal"/>
        <w:spacing w:lineRule="auto" w:line="240"/>
        <w:jc w:val="both"/>
        <w:rPr>
          <w:rFonts w:ascii="Arial" w:hAnsi="Arial"/>
          <w:sz w:val="24"/>
          <w:szCs w:val="24"/>
        </w:rPr>
      </w:pPr>
      <w:r>
        <w:rPr>
          <w:rFonts w:ascii="Arial" w:hAnsi="Arial"/>
          <w:sz w:val="24"/>
          <w:szCs w:val="24"/>
        </w:rPr>
        <w:tab/>
        <w:t>A Comissão de Orçamento e Finanças passa a analisar a formalidade e a materialidade da apresentação e avaliação das metas fiscais.</w:t>
      </w:r>
    </w:p>
    <w:p>
      <w:pPr>
        <w:pStyle w:val="Normal"/>
        <w:spacing w:lineRule="auto" w:line="240"/>
        <w:ind w:left="708" w:hanging="0"/>
        <w:jc w:val="both"/>
        <w:rPr>
          <w:rFonts w:ascii="Arial" w:hAnsi="Arial"/>
          <w:i/>
          <w:i/>
          <w:iCs/>
          <w:sz w:val="24"/>
          <w:szCs w:val="24"/>
        </w:rPr>
      </w:pPr>
      <w:r>
        <w:rPr>
          <w:rFonts w:ascii="Arial" w:hAnsi="Arial"/>
          <w:i/>
          <w:iCs/>
          <w:sz w:val="24"/>
          <w:szCs w:val="24"/>
        </w:rPr>
      </w:r>
    </w:p>
    <w:p>
      <w:pPr>
        <w:pStyle w:val="Normal"/>
        <w:spacing w:lineRule="auto" w:line="240"/>
        <w:jc w:val="center"/>
        <w:rPr>
          <w:rFonts w:ascii="Arial" w:hAnsi="Arial"/>
          <w:sz w:val="24"/>
          <w:szCs w:val="24"/>
        </w:rPr>
      </w:pPr>
      <w:r>
        <w:rPr>
          <w:rFonts w:ascii="Arial" w:hAnsi="Arial"/>
          <w:b/>
          <w:sz w:val="24"/>
          <w:szCs w:val="24"/>
        </w:rPr>
        <w:t>PARECER</w:t>
      </w:r>
    </w:p>
    <w:p>
      <w:pPr>
        <w:pStyle w:val="Normal"/>
        <w:spacing w:lineRule="auto" w:line="240"/>
        <w:jc w:val="center"/>
        <w:rPr>
          <w:b/>
          <w:b/>
        </w:rPr>
      </w:pPr>
      <w:r>
        <w:rPr>
          <w:b/>
        </w:rPr>
      </w:r>
    </w:p>
    <w:p>
      <w:pPr>
        <w:pStyle w:val="Normal"/>
        <w:spacing w:lineRule="auto" w:line="240"/>
        <w:jc w:val="both"/>
        <w:rPr/>
      </w:pPr>
      <w:r>
        <w:rPr>
          <w:rFonts w:ascii="Arial" w:hAnsi="Arial"/>
          <w:sz w:val="24"/>
          <w:szCs w:val="24"/>
        </w:rPr>
        <w:t xml:space="preserve">II. </w:t>
        <w:tab/>
        <w:t>Quanto à forma, verifica-se que o Poder Executivo se fez representar dentro do prazo previsto na LC n</w:t>
      </w:r>
      <w:r>
        <w:rPr>
          <w:rFonts w:ascii="Arial" w:hAnsi="Arial"/>
          <w:sz w:val="24"/>
          <w:szCs w:val="24"/>
          <w:u w:val="single"/>
          <w:vertAlign w:val="superscript"/>
        </w:rPr>
        <w:t>o</w:t>
      </w:r>
      <w:r>
        <w:rPr>
          <w:rFonts w:ascii="Arial" w:hAnsi="Arial"/>
          <w:sz w:val="24"/>
          <w:szCs w:val="24"/>
        </w:rPr>
        <w:t xml:space="preserve"> 101, art. 9</w:t>
      </w:r>
      <w:r>
        <w:rPr>
          <w:rFonts w:ascii="Arial" w:hAnsi="Arial"/>
          <w:strike/>
          <w:sz w:val="24"/>
          <w:szCs w:val="24"/>
        </w:rPr>
        <w:t>º</w:t>
      </w:r>
      <w:r>
        <w:rPr>
          <w:rFonts w:ascii="Arial" w:hAnsi="Arial"/>
          <w:sz w:val="24"/>
          <w:szCs w:val="24"/>
        </w:rPr>
        <w:t>, § 4</w:t>
      </w:r>
      <w:r>
        <w:rPr>
          <w:rFonts w:ascii="Arial" w:hAnsi="Arial"/>
          <w:strike/>
          <w:sz w:val="24"/>
          <w:szCs w:val="24"/>
        </w:rPr>
        <w:t>º</w:t>
      </w:r>
      <w:r>
        <w:rPr>
          <w:rFonts w:ascii="Arial" w:hAnsi="Arial"/>
          <w:sz w:val="24"/>
          <w:szCs w:val="24"/>
        </w:rPr>
        <w:t>, para o 1</w:t>
      </w:r>
      <w:r>
        <w:rPr>
          <w:rFonts w:ascii="Arial" w:hAnsi="Arial"/>
          <w:strike/>
          <w:sz w:val="24"/>
          <w:szCs w:val="24"/>
        </w:rPr>
        <w:t>º</w:t>
      </w:r>
      <w:r>
        <w:rPr>
          <w:rFonts w:ascii="Arial" w:hAnsi="Arial"/>
          <w:sz w:val="24"/>
          <w:szCs w:val="24"/>
        </w:rPr>
        <w:t xml:space="preserve"> quadrimestre do exercício financeiro de 2021, sendo realizada a audiência na data de </w:t>
      </w:r>
      <w:r>
        <w:rPr>
          <w:rFonts w:eastAsia="Calibri" w:cs="Calibri" w:ascii="Arial" w:hAnsi="Arial"/>
          <w:color w:val="00000A"/>
          <w:kern w:val="0"/>
          <w:sz w:val="24"/>
          <w:szCs w:val="24"/>
          <w:lang w:val="pt-BR" w:eastAsia="zh-CN" w:bidi="ar-SA"/>
        </w:rPr>
        <w:t>29/09/2021</w:t>
      </w:r>
      <w:r>
        <w:rPr>
          <w:rFonts w:ascii="Arial" w:hAnsi="Arial"/>
          <w:sz w:val="24"/>
          <w:szCs w:val="24"/>
        </w:rPr>
        <w:t xml:space="preserve"> conforme ata registrada sob o n</w:t>
      </w:r>
      <w:r>
        <w:rPr>
          <w:rFonts w:ascii="Arial" w:hAnsi="Arial"/>
          <w:strike/>
          <w:sz w:val="24"/>
          <w:szCs w:val="24"/>
        </w:rPr>
        <w:t>º</w:t>
      </w:r>
      <w:r>
        <w:rPr>
          <w:rFonts w:ascii="Arial" w:hAnsi="Arial"/>
          <w:sz w:val="24"/>
          <w:szCs w:val="24"/>
        </w:rPr>
        <w:t xml:space="preserve"> 3/21, bem como foram obedecidas as normas regimentais para a realização da audiência prevista na Resolução n</w:t>
      </w:r>
      <w:r>
        <w:rPr>
          <w:rFonts w:ascii="Arial" w:hAnsi="Arial"/>
          <w:strike/>
          <w:sz w:val="24"/>
          <w:szCs w:val="24"/>
        </w:rPr>
        <w:t>º</w:t>
      </w:r>
      <w:r>
        <w:rPr>
          <w:rFonts w:ascii="Arial" w:hAnsi="Arial"/>
          <w:sz w:val="24"/>
          <w:szCs w:val="24"/>
        </w:rPr>
        <w:t xml:space="preserve"> 3, de 2006.</w:t>
      </w:r>
    </w:p>
    <w:p>
      <w:pPr>
        <w:pStyle w:val="Normal"/>
        <w:spacing w:lineRule="auto" w:line="240" w:before="0" w:after="0"/>
        <w:rPr>
          <w:rFonts w:ascii="Arial" w:hAnsi="Arial"/>
          <w:sz w:val="24"/>
          <w:szCs w:val="24"/>
        </w:rPr>
      </w:pPr>
      <w:r>
        <w:rPr>
          <w:rFonts w:ascii="Arial" w:hAnsi="Arial"/>
          <w:sz w:val="24"/>
          <w:szCs w:val="24"/>
        </w:rPr>
      </w:r>
    </w:p>
    <w:p>
      <w:pPr>
        <w:pStyle w:val="Normal"/>
        <w:spacing w:lineRule="auto" w:line="240" w:before="0" w:after="0"/>
        <w:jc w:val="both"/>
        <w:rPr>
          <w:rFonts w:ascii="Arial" w:hAnsi="Arial" w:cs="Arial"/>
          <w:sz w:val="24"/>
          <w:szCs w:val="24"/>
          <w:lang w:val="pt-BR" w:bidi="ar-SA"/>
        </w:rPr>
      </w:pPr>
      <w:r>
        <w:rPr>
          <w:rFonts w:ascii="Arial" w:hAnsi="Arial"/>
          <w:sz w:val="24"/>
          <w:szCs w:val="24"/>
          <w:lang w:val="pt-BR" w:bidi="ar-SA"/>
        </w:rPr>
        <w:t>III.     Em relação ao Resultado Primário, na</w:t>
      </w:r>
      <w:r>
        <w:rPr>
          <w:rFonts w:cs="Arial" w:ascii="Arial" w:hAnsi="Arial"/>
          <w:sz w:val="24"/>
          <w:szCs w:val="24"/>
          <w:lang w:val="pt-BR" w:bidi="ar-SA"/>
        </w:rPr>
        <w:t xml:space="preserve"> confrontação  das Receitas Arrecadadas com as Despesas Pagas, apuraram-se valores positivos, ou seja, enquanto </w:t>
      </w:r>
      <w:r>
        <w:rPr>
          <w:rFonts w:cs="Arial" w:ascii="Arial" w:hAnsi="Arial"/>
          <w:sz w:val="24"/>
          <w:szCs w:val="24"/>
          <w:lang w:val="pt-BR" w:bidi="ar-SA"/>
        </w:rPr>
        <w:t xml:space="preserve">a Receita Primária Total foi no montante de </w:t>
      </w:r>
      <w:r>
        <w:rPr>
          <w:rFonts w:cs="Arial" w:ascii="Arial" w:hAnsi="Arial"/>
          <w:sz w:val="24"/>
          <w:szCs w:val="24"/>
          <w:lang w:val="pt-BR" w:bidi="ar-SA"/>
        </w:rPr>
        <w:t xml:space="preserve">R$ 63.223.039,00, </w:t>
      </w:r>
      <w:r>
        <w:rPr>
          <w:rFonts w:cs="Arial" w:ascii="Arial" w:hAnsi="Arial"/>
          <w:sz w:val="24"/>
          <w:szCs w:val="24"/>
          <w:lang w:val="pt-BR" w:bidi="ar-SA"/>
        </w:rPr>
        <w:t xml:space="preserve">a Despesa Primária Líquida foi apurada em </w:t>
      </w:r>
      <w:r>
        <w:rPr>
          <w:rFonts w:cs="Arial" w:ascii="Arial" w:hAnsi="Arial"/>
          <w:sz w:val="24"/>
          <w:szCs w:val="24"/>
          <w:lang w:val="pt-BR" w:bidi="ar-SA"/>
        </w:rPr>
        <w:t xml:space="preserve">R$ 46.452.765,64, proporcionando um superavit de R$ 16.770.273,36. Os dados do Resultado Primário registraram, portanto, até o quadrimestre o valor de R$  16.770.273,36, enquanto que a previsão na LDO e de acordo com a programação financeira,  apontou  um  montante  de  R$ 500.000,00, ou seja, o valor apurado está acima da meta fixada. O desempenho favorável demonstra que as receitas primárias foram suficientes para suportar integralmente as despesas primárias. </w:t>
      </w:r>
    </w:p>
    <w:p>
      <w:pPr>
        <w:pStyle w:val="Normal"/>
        <w:spacing w:lineRule="auto" w:line="240" w:before="0" w:after="0"/>
        <w:jc w:val="both"/>
        <w:rPr/>
      </w:pPr>
      <w:r>
        <w:rPr>
          <w:rFonts w:cs="Arial" w:ascii="Arial" w:hAnsi="Arial"/>
          <w:sz w:val="24"/>
          <w:szCs w:val="24"/>
          <w:lang w:val="pt-BR" w:bidi="ar-SA"/>
        </w:rPr>
        <w:tab/>
        <w:t xml:space="preserve"> </w:t>
      </w:r>
    </w:p>
    <w:p>
      <w:pPr>
        <w:pStyle w:val="Normal"/>
        <w:spacing w:lineRule="auto" w:line="240" w:before="0" w:after="0"/>
        <w:jc w:val="both"/>
        <w:rPr/>
      </w:pPr>
      <w:r>
        <w:rPr>
          <w:rFonts w:ascii="Arial" w:hAnsi="Arial"/>
          <w:sz w:val="24"/>
          <w:szCs w:val="24"/>
        </w:rPr>
        <w:t xml:space="preserve">IV. </w:t>
      </w:r>
      <w:r>
        <w:rPr>
          <w:rFonts w:ascii="Arial" w:hAnsi="Arial"/>
          <w:color w:val="FF0000"/>
          <w:sz w:val="24"/>
          <w:szCs w:val="24"/>
        </w:rPr>
        <w:t xml:space="preserve">  </w:t>
      </w:r>
      <w:r>
        <w:rPr>
          <w:rFonts w:ascii="Arial" w:hAnsi="Arial"/>
          <w:color w:val="auto"/>
          <w:sz w:val="24"/>
          <w:szCs w:val="24"/>
        </w:rPr>
        <w:t>Quanto ao Resultado Nominal, a Dívida Consolidada Líquida em 31/12/20 era de R$ - 22.515.354,18, e até o final do 2</w:t>
      </w:r>
      <w:r>
        <w:rPr>
          <w:rFonts w:ascii="Arial" w:hAnsi="Arial"/>
          <w:strike/>
          <w:color w:val="auto"/>
          <w:sz w:val="24"/>
          <w:szCs w:val="24"/>
        </w:rPr>
        <w:t>º</w:t>
      </w:r>
      <w:r>
        <w:rPr>
          <w:rFonts w:ascii="Arial" w:hAnsi="Arial"/>
          <w:color w:val="auto"/>
          <w:sz w:val="24"/>
          <w:szCs w:val="24"/>
        </w:rPr>
        <w:t xml:space="preserve"> quadrimestre deste ano era de R$ - 41.331.884.44. Então, tem-se </w:t>
      </w:r>
      <w:r>
        <w:rPr>
          <w:rFonts w:eastAsia="Calibri" w:cs="Calibri" w:ascii="Arial" w:hAnsi="Arial"/>
          <w:color w:val="auto"/>
          <w:kern w:val="0"/>
          <w:sz w:val="24"/>
          <w:szCs w:val="24"/>
          <w:lang w:val="pt-BR" w:eastAsia="zh-CN" w:bidi="ar-SA"/>
        </w:rPr>
        <w:t xml:space="preserve">uma diferença </w:t>
      </w:r>
      <w:r>
        <w:rPr>
          <w:rFonts w:ascii="Arial" w:hAnsi="Arial"/>
          <w:color w:val="auto"/>
          <w:sz w:val="24"/>
          <w:szCs w:val="24"/>
        </w:rPr>
        <w:t>de R$ 18.816.530,26. O Resultado Nominal, no quadrimestre, foi, portanto, de R$  18.816.530,26, o qual foi apurado de acordo com a metodologia adotada pela Secretaria do Tesouro Nacional, bem como as orientações do Tribunal de Contas do Estado, que consiste na verificação da variação do saldo do endividamento no período. Por essa metodologia, leva-se em conta a diferença entre o saldo da dívida fiscal líquida no período de referência e o saldo da dívida fiscal líquida no final do exercício anterior ao de referência, sendo que, caso o resultado seja positivo = déficit e caso negativo = superávit. Pelo resultado apresentado, verifica-se que a dívida fiscal líquida do Município apresenta um saldo superior àquele verificado ao final do período anterior, sinalizando, portanto, para uma diminuição no nível de endividamento municipal, evidenciando atingimento das metas de endividamento estabelecidas por Resolução do Senado Federal e, consequentemente, o compromisso fiscal da Administração Municipal previsto na Lei de Diretrizes Orçamentárias.</w:t>
      </w:r>
    </w:p>
    <w:p>
      <w:pPr>
        <w:pStyle w:val="Normal"/>
        <w:spacing w:lineRule="auto" w:line="240" w:before="0" w:after="0"/>
        <w:jc w:val="both"/>
        <w:rPr/>
      </w:pPr>
      <w:r>
        <w:rPr>
          <w:rFonts w:ascii="Arial" w:hAnsi="Arial"/>
          <w:color w:val="auto"/>
          <w:sz w:val="24"/>
          <w:szCs w:val="24"/>
        </w:rPr>
        <w:t xml:space="preserve"> </w:t>
      </w:r>
      <w:r>
        <w:rPr>
          <w:rFonts w:ascii="Arial" w:hAnsi="Arial"/>
          <w:color w:val="auto"/>
          <w:sz w:val="24"/>
          <w:szCs w:val="24"/>
        </w:rPr>
        <w:tab/>
      </w:r>
    </w:p>
    <w:p>
      <w:pPr>
        <w:pStyle w:val="Corpodotexto"/>
        <w:spacing w:lineRule="auto" w:line="240" w:before="0" w:after="0"/>
        <w:jc w:val="both"/>
        <w:rPr/>
      </w:pPr>
      <w:r>
        <w:rPr>
          <w:rFonts w:ascii="Arial" w:hAnsi="Arial"/>
          <w:sz w:val="24"/>
          <w:szCs w:val="24"/>
        </w:rPr>
        <w:t xml:space="preserve">V.  Pelos fundamentos declinados neste Parecer, a Comissão opina pela </w:t>
      </w:r>
      <w:r>
        <w:rPr>
          <w:rFonts w:ascii="Arial" w:hAnsi="Arial"/>
          <w:b/>
          <w:sz w:val="24"/>
          <w:szCs w:val="24"/>
        </w:rPr>
        <w:t>a</w:t>
      </w:r>
      <w:r>
        <w:rPr>
          <w:rFonts w:ascii="Arial" w:hAnsi="Arial"/>
          <w:b/>
          <w:bCs/>
          <w:sz w:val="24"/>
          <w:szCs w:val="24"/>
        </w:rPr>
        <w:t xml:space="preserve">dequação </w:t>
      </w:r>
      <w:r>
        <w:rPr>
          <w:rFonts w:ascii="Arial" w:hAnsi="Arial"/>
          <w:bCs/>
          <w:sz w:val="24"/>
          <w:szCs w:val="24"/>
        </w:rPr>
        <w:t>do cumprimento das metas fiscais no 2</w:t>
      </w:r>
      <w:r>
        <w:rPr>
          <w:rFonts w:ascii="Arial" w:hAnsi="Arial"/>
          <w:bCs/>
          <w:strike/>
          <w:sz w:val="24"/>
          <w:szCs w:val="24"/>
        </w:rPr>
        <w:t>º</w:t>
      </w:r>
      <w:r>
        <w:rPr>
          <w:rFonts w:ascii="Arial" w:hAnsi="Arial"/>
          <w:bCs/>
          <w:sz w:val="24"/>
          <w:szCs w:val="24"/>
        </w:rPr>
        <w:t xml:space="preserve"> quadrimestre de 2021, em relação aos resultados primário e nominal, </w:t>
      </w:r>
      <w:r>
        <w:rPr>
          <w:rFonts w:cs="Arial" w:ascii="Arial" w:hAnsi="Arial"/>
          <w:bCs/>
          <w:sz w:val="24"/>
          <w:szCs w:val="24"/>
        </w:rPr>
        <w:t>bem como o atendimento aos requisitos da Lei de Responsabilidade Fiscal.</w:t>
      </w:r>
    </w:p>
    <w:p>
      <w:pPr>
        <w:pStyle w:val="Normal"/>
        <w:spacing w:lineRule="auto" w:line="240" w:before="0" w:after="0"/>
        <w:jc w:val="both"/>
        <w:rPr>
          <w:rFonts w:ascii="Arial" w:hAnsi="Arial"/>
          <w:bCs/>
          <w:color w:val="FF0000"/>
          <w:sz w:val="24"/>
          <w:szCs w:val="24"/>
        </w:rPr>
      </w:pPr>
      <w:r>
        <w:rPr>
          <w:rFonts w:ascii="Arial" w:hAnsi="Arial"/>
          <w:bCs/>
          <w:color w:val="FF0000"/>
          <w:sz w:val="24"/>
          <w:szCs w:val="24"/>
        </w:rPr>
      </w:r>
    </w:p>
    <w:p>
      <w:pPr>
        <w:pStyle w:val="Normal"/>
        <w:spacing w:lineRule="auto" w:line="240" w:before="0" w:after="0"/>
        <w:jc w:val="both"/>
        <w:rPr/>
      </w:pPr>
      <w:r>
        <w:rPr>
          <w:rFonts w:ascii="Arial" w:hAnsi="Arial"/>
          <w:bCs/>
          <w:sz w:val="24"/>
          <w:szCs w:val="24"/>
        </w:rPr>
        <w:t xml:space="preserve">VI.    </w:t>
        <w:tab/>
        <w:t xml:space="preserve"> Segue o presente à Mesa Diretora da Câmara para as providências necessárias, nos termos do art. 59 da </w:t>
      </w:r>
      <w:r>
        <w:rPr>
          <w:rFonts w:eastAsia="Calibri" w:cs="Calibri" w:ascii="Arial" w:hAnsi="Arial"/>
          <w:bCs/>
          <w:color w:val="00000A"/>
          <w:kern w:val="0"/>
          <w:sz w:val="24"/>
          <w:szCs w:val="24"/>
          <w:lang w:val="pt-BR" w:eastAsia="zh-CN" w:bidi="ar-SA"/>
        </w:rPr>
        <w:t>Lei Complementar n</w:t>
      </w:r>
      <w:r>
        <w:rPr>
          <w:rFonts w:eastAsia="Calibri" w:cs="Calibri" w:ascii="Arial" w:hAnsi="Arial"/>
          <w:bCs/>
          <w:strike/>
          <w:color w:val="00000A"/>
          <w:kern w:val="0"/>
          <w:sz w:val="24"/>
          <w:szCs w:val="24"/>
          <w:lang w:val="pt-BR" w:eastAsia="zh-CN" w:bidi="ar-SA"/>
        </w:rPr>
        <w:t>º</w:t>
      </w:r>
      <w:r>
        <w:rPr>
          <w:rFonts w:ascii="Arial" w:hAnsi="Arial"/>
          <w:bCs/>
          <w:sz w:val="24"/>
          <w:szCs w:val="24"/>
        </w:rPr>
        <w:t xml:space="preserve"> 101, de 2000.</w:t>
      </w:r>
    </w:p>
    <w:p>
      <w:pPr>
        <w:pStyle w:val="Normal"/>
        <w:spacing w:lineRule="auto" w:line="240" w:before="0" w:after="0"/>
        <w:jc w:val="both"/>
        <w:rPr>
          <w:rFonts w:ascii="Arial" w:hAnsi="Arial"/>
          <w:sz w:val="24"/>
          <w:szCs w:val="24"/>
        </w:rPr>
      </w:pPr>
      <w:r>
        <w:rPr>
          <w:rFonts w:ascii="Arial" w:hAnsi="Arial"/>
          <w:sz w:val="24"/>
          <w:szCs w:val="24"/>
        </w:rPr>
      </w:r>
    </w:p>
    <w:p>
      <w:pPr>
        <w:pStyle w:val="Normal"/>
        <w:spacing w:lineRule="auto" w:line="240" w:before="0" w:after="0"/>
        <w:jc w:val="both"/>
        <w:rPr>
          <w:rFonts w:ascii="Arial" w:hAnsi="Arial"/>
          <w:sz w:val="24"/>
          <w:szCs w:val="24"/>
        </w:rPr>
      </w:pPr>
      <w:r>
        <w:rPr>
          <w:rFonts w:ascii="Arial" w:hAnsi="Arial"/>
          <w:sz w:val="24"/>
          <w:szCs w:val="24"/>
        </w:rPr>
      </w:r>
    </w:p>
    <w:p>
      <w:pPr>
        <w:pStyle w:val="Normal"/>
        <w:bidi w:val="0"/>
        <w:spacing w:lineRule="auto" w:line="240" w:before="0" w:after="0"/>
        <w:jc w:val="center"/>
        <w:rPr>
          <w:rFonts w:ascii="Arial" w:hAnsi="Arial"/>
          <w:sz w:val="24"/>
          <w:szCs w:val="24"/>
        </w:rPr>
      </w:pPr>
      <w:r>
        <w:rPr>
          <w:rFonts w:ascii="Arial" w:hAnsi="Arial"/>
          <w:sz w:val="24"/>
          <w:szCs w:val="24"/>
        </w:rPr>
      </w:r>
    </w:p>
    <w:p>
      <w:pPr>
        <w:pStyle w:val="Normal"/>
        <w:bidi w:val="0"/>
        <w:spacing w:lineRule="auto" w:line="240" w:before="0" w:after="0"/>
        <w:jc w:val="center"/>
        <w:rPr/>
      </w:pPr>
      <w:r>
        <w:rPr>
          <w:rFonts w:ascii="Arial" w:hAnsi="Arial"/>
          <w:sz w:val="24"/>
          <w:szCs w:val="24"/>
        </w:rPr>
        <w:t>Ver. João R. Boll</w:t>
      </w:r>
    </w:p>
    <w:p>
      <w:pPr>
        <w:pStyle w:val="Normal"/>
        <w:bidi w:val="0"/>
        <w:spacing w:lineRule="auto" w:line="240" w:before="0" w:after="0"/>
        <w:jc w:val="center"/>
        <w:rPr/>
      </w:pPr>
      <w:r>
        <w:rPr>
          <w:rFonts w:ascii="Arial" w:hAnsi="Arial"/>
          <w:sz w:val="24"/>
          <w:szCs w:val="24"/>
        </w:rPr>
        <w:t>Vice-Presidente da COF</w:t>
      </w:r>
    </w:p>
    <w:p>
      <w:pPr>
        <w:pStyle w:val="Normal"/>
        <w:bidi w:val="0"/>
        <w:spacing w:lineRule="auto" w:line="240" w:before="0" w:after="0"/>
        <w:jc w:val="center"/>
        <w:rPr>
          <w:rFonts w:ascii="Arial" w:hAnsi="Arial"/>
          <w:sz w:val="24"/>
          <w:szCs w:val="24"/>
        </w:rPr>
      </w:pPr>
      <w:r>
        <w:rPr>
          <w:rFonts w:ascii="Arial" w:hAnsi="Arial"/>
          <w:sz w:val="24"/>
          <w:szCs w:val="24"/>
        </w:rPr>
      </w:r>
    </w:p>
    <w:p>
      <w:pPr>
        <w:pStyle w:val="Normal"/>
        <w:bidi w:val="0"/>
        <w:spacing w:lineRule="auto" w:line="240" w:before="0" w:after="0"/>
        <w:jc w:val="center"/>
        <w:rPr>
          <w:rFonts w:ascii="Arial" w:hAnsi="Arial"/>
          <w:sz w:val="24"/>
          <w:szCs w:val="24"/>
        </w:rPr>
      </w:pPr>
      <w:r>
        <w:rPr>
          <w:rFonts w:ascii="Arial" w:hAnsi="Arial"/>
          <w:sz w:val="24"/>
          <w:szCs w:val="24"/>
        </w:rPr>
      </w:r>
    </w:p>
    <w:p>
      <w:pPr>
        <w:pStyle w:val="Normal"/>
        <w:bidi w:val="0"/>
        <w:spacing w:lineRule="auto" w:line="240" w:before="0" w:after="0"/>
        <w:jc w:val="center"/>
        <w:rPr/>
      </w:pPr>
      <w:r>
        <w:rPr>
          <w:rFonts w:ascii="Arial" w:hAnsi="Arial"/>
          <w:sz w:val="24"/>
          <w:szCs w:val="24"/>
        </w:rPr>
        <w:t xml:space="preserve">Ver. </w:t>
      </w:r>
      <w:r>
        <w:rPr>
          <w:rFonts w:eastAsia="Calibri" w:cs="Calibri" w:ascii="Arial" w:hAnsi="Arial"/>
          <w:color w:val="00000A"/>
          <w:kern w:val="0"/>
          <w:sz w:val="24"/>
          <w:szCs w:val="24"/>
          <w:lang w:val="pt-BR" w:eastAsia="zh-CN" w:bidi="ar-SA"/>
        </w:rPr>
        <w:t>Luis da Silva</w:t>
      </w:r>
    </w:p>
    <w:p>
      <w:pPr>
        <w:pStyle w:val="Normal"/>
        <w:bidi w:val="0"/>
        <w:spacing w:lineRule="auto" w:line="240" w:before="0" w:after="0"/>
        <w:jc w:val="center"/>
        <w:rPr/>
      </w:pPr>
      <w:r>
        <w:rPr>
          <w:rFonts w:ascii="Arial" w:hAnsi="Arial"/>
          <w:sz w:val="24"/>
          <w:szCs w:val="24"/>
        </w:rPr>
        <w:t>Membro Suplente da COF</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displayBackgroundShape/>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2" w:before="0" w:after="160"/>
      <w:jc w:val="left"/>
    </w:pPr>
    <w:rPr>
      <w:rFonts w:ascii="Calibri" w:hAnsi="Calibri" w:eastAsia="Calibri" w:cs="Calibri"/>
      <w:color w:val="00000A"/>
      <w:kern w:val="0"/>
      <w:sz w:val="22"/>
      <w:szCs w:val="22"/>
      <w:lang w:val="pt-BR" w:eastAsia="zh-CN" w:bidi="ar-SA"/>
    </w:rPr>
  </w:style>
  <w:style w:type="character" w:styleId="DefaultParagraphFont" w:default="1">
    <w:name w:val="Default Paragraph Font"/>
    <w:uiPriority w:val="1"/>
    <w:semiHidden/>
    <w:unhideWhenUsed/>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Fontepargpadro1" w:customStyle="1">
    <w:name w:val="Fonte parág. padrão1"/>
    <w:qFormat/>
    <w:rPr/>
  </w:style>
  <w:style w:type="character" w:styleId="LinkdaInternet" w:customStyle="1">
    <w:name w:val="Link da Internet"/>
    <w:rPr>
      <w:color w:val="0563C1"/>
      <w:u w:val="single"/>
    </w:rPr>
  </w:style>
  <w:style w:type="character" w:styleId="Nfaseforte" w:customStyle="1">
    <w:name w:val="Ênfase forte"/>
    <w:qFormat/>
    <w:rPr>
      <w:b/>
      <w:bCs/>
    </w:rPr>
  </w:style>
  <w:style w:type="character" w:styleId="TextodebaloChar" w:customStyle="1">
    <w:name w:val="Texto de balão Char"/>
    <w:qFormat/>
    <w:rPr>
      <w:rFonts w:ascii="Segoe UI" w:hAnsi="Segoe UI" w:cs="Segoe UI"/>
      <w:sz w:val="18"/>
      <w:szCs w:val="18"/>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Arial"/>
      <w:sz w:val="28"/>
      <w:szCs w:val="28"/>
    </w:rPr>
  </w:style>
  <w:style w:type="paragraph" w:styleId="NormalWeb">
    <w:name w:val="Normal (Web)"/>
    <w:basedOn w:val="Normal"/>
    <w:qFormat/>
    <w:pPr>
      <w:spacing w:lineRule="auto" w:line="240" w:before="280" w:after="280"/>
      <w:ind w:firstLine="180"/>
      <w:jc w:val="both"/>
    </w:pPr>
    <w:rPr>
      <w:rFonts w:ascii="Times New Roman" w:hAnsi="Times New Roman" w:eastAsia="Times New Roman" w:cs="Times New Roman"/>
      <w:color w:val="303030"/>
      <w:sz w:val="27"/>
      <w:szCs w:val="27"/>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Application>LibreOffice/7.0.1.2$Windows_X86_64 LibreOffice_project/7cbcfc562f6eb6708b5ff7d7397325de9e764452</Application>
  <Pages>2</Pages>
  <Words>565</Words>
  <Characters>3011</Characters>
  <CharactersWithSpaces>3583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2020-05-22T17:34:00Z</dcterms:created>
  <dc:creator>Usuário</dc:creator>
  <dc:description/>
  <dc:language>pt-BR</dc:language>
  <cp:lastModifiedBy/>
  <cp:lastPrinted>2021-10-27T15:46:16Z</cp:lastPrinted>
  <dcterms:modified xsi:type="dcterms:W3CDTF">2021-10-28T08:30:19Z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