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15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DEZEMBRO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Quarta-feira,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DISCUSSÃO DO PROJETO DE LEI Nº </w:t>
      </w:r>
      <w:r>
        <w:rPr>
          <w:sz w:val="28"/>
          <w:szCs w:val="28"/>
          <w:lang w:val="pt-BR"/>
        </w:rPr>
        <w:t>100</w:t>
      </w:r>
      <w:r>
        <w:rPr>
          <w:sz w:val="28"/>
          <w:szCs w:val="28"/>
          <w:lang w:val="pt-BR"/>
        </w:rPr>
        <w:t xml:space="preserve">/21 –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Estima a receita e fixa a despesa para o exercício financeiro de 2022 (LOA).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art. 163 do Regimento Interno desta Casa Legislativa, a Comissão de Orçamento e Finanças providenciará na organização da audiência pública e a participação popular em cumprimento à Lei Complementar nº 101, de 2000, art. 48, Parágrafo Único (Lei de Responsabilidade Fiscal).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nº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 PASSO A PALAVRA AO SECRETÁRIO MUNICIPAL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PLANEJAMENTO NADER UMAR, E AO SERVIDOR PÚBLICO MUNICIPAL LUCAS NECKEL, QUE FARÃO A APRESENTAÇÃO DA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LOA PARA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2022.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62" w:right="879" w:header="0" w:top="879" w:footer="652" w:bottom="8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5pt;margin-top:0.05pt;width:6.6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LibreOffice/7.0.1.2$Windows_X86_64 LibreOffice_project/7cbcfc562f6eb6708b5ff7d7397325de9e764452</Application>
  <Pages>1</Pages>
  <Words>208</Words>
  <Characters>1366</Characters>
  <CharactersWithSpaces>1560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2021-12-15T09:09:56Z</dcterms:modified>
  <cp:revision>54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