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880110" cy="10833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549910</wp:posOffset>
                </wp:positionH>
                <wp:positionV relativeFrom="paragraph">
                  <wp:posOffset>27940</wp:posOffset>
                </wp:positionV>
                <wp:extent cx="4394200" cy="1062990"/>
                <wp:effectExtent l="0" t="0" r="0" b="0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3440" cy="106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tabs>
                                <w:tab w:val="clear" w:pos="708"/>
                                <w:tab w:val="left" w:pos="5893" w:leader="none"/>
                              </w:tabs>
                              <w:suppressAutoHyphens w:val="true"/>
                              <w:bidi w:val="0"/>
                              <w:spacing w:lineRule="auto" w:line="240" w:before="0" w:after="0"/>
                              <w:ind w:left="0" w:right="1077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0" w:right="170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43.3pt;margin-top:2.2pt;width:345.9pt;height:83.6pt;v-text-anchor:top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tabs>
                          <w:tab w:val="clear" w:pos="708"/>
                          <w:tab w:val="left" w:pos="5893" w:leader="none"/>
                        </w:tabs>
                        <w:suppressAutoHyphens w:val="true"/>
                        <w:bidi w:val="0"/>
                        <w:spacing w:lineRule="auto" w:line="240" w:before="0" w:after="0"/>
                        <w:ind w:left="0" w:right="1077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0" w:right="170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clear" w:pos="708"/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PARECER DA COMISSÃO DE ORÇAMENTO E FINANÇAS SOBRE A DEMONSTRAÇÃO E AVALIAÇÃO DAS METAS FISCAIS  DO 3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z w:val="24"/>
          <w:szCs w:val="24"/>
        </w:rPr>
        <w:t xml:space="preserve"> QUADRIMESTRE DE 2021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tbl>
      <w:tblPr>
        <w:tblW w:w="9150" w:type="dxa"/>
        <w:jc w:val="left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96"/>
        <w:gridCol w:w="7653"/>
      </w:tblGrid>
      <w:tr>
        <w:trPr/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Parecer n</w:t>
            </w:r>
            <w:r>
              <w:rPr>
                <w:rFonts w:ascii="Arial" w:hAnsi="Arial"/>
                <w:b/>
                <w:i/>
                <w:iCs/>
                <w:strike/>
                <w:sz w:val="24"/>
                <w:szCs w:val="24"/>
              </w:rPr>
              <w:t>º</w:t>
            </w:r>
          </w:p>
        </w:tc>
        <w:tc>
          <w:tcPr>
            <w:tcW w:w="7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1/2022</w:t>
            </w:r>
          </w:p>
        </w:tc>
      </w:tr>
      <w:tr>
        <w:trPr/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Data:</w:t>
            </w:r>
          </w:p>
        </w:tc>
        <w:tc>
          <w:tcPr>
            <w:tcW w:w="7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Calibri" w:ascii="Arial" w:hAnsi="Arial"/>
                <w:b/>
                <w:i/>
                <w:iCs/>
                <w:color w:val="00000A"/>
                <w:kern w:val="0"/>
                <w:sz w:val="24"/>
                <w:szCs w:val="24"/>
                <w:lang w:val="pt-BR" w:eastAsia="zh-CN" w:bidi="ar-SA"/>
              </w:rPr>
              <w:t>23/02/2022</w:t>
            </w:r>
          </w:p>
        </w:tc>
      </w:tr>
    </w:tbl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RELATÓRIO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>I.</w:t>
        <w:tab/>
        <w:t>Trata, a presente matéria, de análise sobre o cumprimento das metas fiscais fixadas na Lei de Diretrizes do Município de Três Passos,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trike w:val="false"/>
          <w:dstrike w:val="false"/>
          <w:sz w:val="24"/>
          <w:szCs w:val="24"/>
        </w:rPr>
        <w:t xml:space="preserve"> 5.578, de 2020, </w:t>
      </w:r>
      <w:r>
        <w:rPr>
          <w:rFonts w:ascii="Arial" w:hAnsi="Arial"/>
          <w:sz w:val="24"/>
          <w:szCs w:val="24"/>
        </w:rPr>
        <w:t>nos termos da Lei Complementar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de 2000, art.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art. 59.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Comissão de Orçamento e Finanças passa a analisar a formalidade e a materialidade da apresentação e avaliação das metas fiscais.</w:t>
      </w:r>
    </w:p>
    <w:p>
      <w:pPr>
        <w:pStyle w:val="Normal"/>
        <w:spacing w:lineRule="auto" w:line="240"/>
        <w:ind w:left="708" w:hanging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PARECER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 xml:space="preserve">II. </w:t>
        <w:tab/>
        <w:t>Quanto à forma, verifica-se que o Poder Executivo se fez representar dentro do prazo previsto na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, para o </w:t>
      </w: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quadrimestre do exercício financeiro de 2021, sendo realizada a audiência na data de 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2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3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/0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2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/202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2</w:t>
      </w:r>
      <w:r>
        <w:rPr>
          <w:rFonts w:ascii="Arial" w:hAnsi="Arial"/>
          <w:sz w:val="24"/>
          <w:szCs w:val="24"/>
        </w:rPr>
        <w:t xml:space="preserve"> conforme ata registrada sob 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/2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, bem como foram obedecidas as normas regimentais para a realização da audiência prevista na Resolução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3, de 2006.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pt-BR" w:bidi="ar-SA"/>
        </w:rPr>
      </w:pPr>
      <w:r>
        <w:rPr>
          <w:rFonts w:ascii="Arial" w:hAnsi="Arial"/>
          <w:sz w:val="24"/>
          <w:szCs w:val="24"/>
          <w:lang w:val="pt-BR" w:bidi="ar-SA"/>
        </w:rPr>
        <w:t xml:space="preserve">III.     Em relação ao Resultado Primário, </w:t>
      </w:r>
      <w:r>
        <w:rPr>
          <w:rFonts w:cs="Arial" w:ascii="Arial" w:hAnsi="Arial"/>
          <w:sz w:val="24"/>
          <w:szCs w:val="24"/>
          <w:lang w:val="pt-BR" w:bidi="ar-SA"/>
        </w:rPr>
        <w:t xml:space="preserve">as Receitas Correntes totalizaram R$ 97.998.219,68 e as Receitas de Capital R$ 1.533.655,53. </w:t>
      </w:r>
      <w:r>
        <w:rPr>
          <w:rFonts w:cs="Arial" w:ascii="Arial" w:hAnsi="Arial"/>
          <w:sz w:val="24"/>
          <w:szCs w:val="24"/>
          <w:lang w:val="pt-BR" w:bidi="ar-SA"/>
        </w:rPr>
        <w:t>A</w:t>
      </w:r>
      <w:r>
        <w:rPr>
          <w:rFonts w:cs="Arial" w:ascii="Arial" w:hAnsi="Arial"/>
          <w:sz w:val="24"/>
          <w:szCs w:val="24"/>
          <w:lang w:val="pt-BR" w:bidi="ar-SA"/>
        </w:rPr>
        <w:t xml:space="preserve"> Receita Primária Total, resultado da Receita Primária Corrente, deduzindo-se a Receita Patrimonial e somando-se a Receita de Capital, ficou em R$ 96.936.789,67. As despesas primárias totais, pagas no ano de 2021, do Executivo Municipal, incluídos os restos a pagar processados e não-processados, totalizaram R$ 78.886.494,68. Assim, o Resultado Primário no ano de 2021 foi de R$ 13.951.278,11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bidi="ar-SA"/>
        </w:rPr>
        <w:tab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IV. </w:t>
      </w:r>
      <w:r>
        <w:rPr>
          <w:rFonts w:ascii="Arial" w:hAnsi="Arial"/>
          <w:color w:val="FF0000"/>
          <w:sz w:val="24"/>
          <w:szCs w:val="24"/>
        </w:rPr>
        <w:t xml:space="preserve">  </w:t>
      </w:r>
      <w:r>
        <w:rPr>
          <w:rFonts w:ascii="Arial" w:hAnsi="Arial"/>
          <w:color w:val="auto"/>
          <w:sz w:val="24"/>
          <w:szCs w:val="24"/>
        </w:rPr>
        <w:t xml:space="preserve">Quanto ao Resultado Nominal, levando-se em conta o período de dezembro/2020 a dezembro/2021, em que não houve dívidas, foi de R$ 15.785.826,97, representando a diferença entre o saldo disponibilizado em caixa entre os exercícios financeiros de 2020 e 2021, sendo que a dívida consolidada (restos a pagar não processados) foi de R$ 6.170.894,29, valores não consolidados com o </w:t>
      </w:r>
      <w:r>
        <w:rPr>
          <w:rFonts w:ascii="Arial" w:hAnsi="Arial"/>
          <w:color w:val="auto"/>
          <w:sz w:val="24"/>
          <w:szCs w:val="24"/>
        </w:rPr>
        <w:t xml:space="preserve">Poder </w:t>
      </w:r>
      <w:r>
        <w:rPr>
          <w:rFonts w:ascii="Arial" w:hAnsi="Arial"/>
          <w:color w:val="auto"/>
          <w:sz w:val="24"/>
          <w:szCs w:val="24"/>
        </w:rPr>
        <w:t xml:space="preserve">Legislativo, devido a problemas </w:t>
      </w:r>
      <w:r>
        <w:rPr>
          <w:rFonts w:eastAsia="Calibri" w:cs="Calibri" w:ascii="Arial" w:hAnsi="Arial"/>
          <w:color w:val="auto"/>
          <w:kern w:val="0"/>
          <w:sz w:val="24"/>
          <w:szCs w:val="24"/>
          <w:lang w:val="pt-BR" w:eastAsia="zh-CN" w:bidi="ar-SA"/>
        </w:rPr>
        <w:t>verificados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 xml:space="preserve">no sistema </w:t>
      </w:r>
      <w:r>
        <w:rPr>
          <w:rFonts w:ascii="Arial" w:hAnsi="Arial"/>
          <w:color w:val="auto"/>
          <w:sz w:val="24"/>
          <w:szCs w:val="24"/>
        </w:rPr>
        <w:t>de contabilidade e finanças.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color w:val="auto"/>
          <w:sz w:val="24"/>
          <w:szCs w:val="24"/>
        </w:rPr>
        <w:t>V .</w:t>
        <w:tab/>
        <w:t xml:space="preserve">  A Receita Corrente Líquida foi de R$ 94.887.919,29, apurada até dezembro/2021. O valor aplicado na área da saúde foi de R$ 11.185.594,30, representando 17,83%. O valor aplicado na área da educação representa um percentual de 28,81%. Com relação aos valores aplicados no Fundeb, o Município atingiu o percentual aproximado de 69%, próximo dos 70% exigidos, sendo que a Administração Municipal fará a aplicação dos valores restantes para atingir o limite mínimo previsto em lei, no prazo legal. Quanto às despesas com pessoal, o Município hoje detém o percentual de 45,75%, distante ainda do limite prudencial de 51,30% estabelecido pela Lei de Responsabilidade Fiscal – LRF.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color w:val="auto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>V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 xml:space="preserve">.       Pelos fundamentos declinados neste Parecer, a Comissão opina pela 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dequação </w:t>
      </w:r>
      <w:r>
        <w:rPr>
          <w:rFonts w:ascii="Arial" w:hAnsi="Arial"/>
          <w:bCs/>
          <w:sz w:val="24"/>
          <w:szCs w:val="24"/>
        </w:rPr>
        <w:t xml:space="preserve">do cumprimento das metas fiscais no </w:t>
      </w:r>
      <w:r>
        <w:rPr>
          <w:rFonts w:ascii="Arial" w:hAnsi="Arial"/>
          <w:bCs/>
          <w:sz w:val="24"/>
          <w:szCs w:val="24"/>
        </w:rPr>
        <w:t>3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quadrimestre de 202</w:t>
      </w:r>
      <w:r>
        <w:rPr>
          <w:rFonts w:ascii="Arial" w:hAnsi="Arial"/>
          <w:bCs/>
          <w:sz w:val="24"/>
          <w:szCs w:val="24"/>
        </w:rPr>
        <w:t>2</w:t>
      </w:r>
      <w:r>
        <w:rPr>
          <w:rFonts w:ascii="Arial" w:hAnsi="Arial"/>
          <w:bCs/>
          <w:sz w:val="24"/>
          <w:szCs w:val="24"/>
        </w:rPr>
        <w:t xml:space="preserve">, em relação aos resultados primário e nominal, </w:t>
      </w:r>
      <w:r>
        <w:rPr>
          <w:rFonts w:cs="Arial" w:ascii="Arial" w:hAnsi="Arial"/>
          <w:bCs/>
          <w:sz w:val="24"/>
          <w:szCs w:val="24"/>
        </w:rPr>
        <w:t>bem como o atendimento aos requisitos da Lei de Responsabilidade Fiscal.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bCs/>
          <w:sz w:val="24"/>
          <w:szCs w:val="24"/>
        </w:rPr>
        <w:t>VI</w:t>
      </w:r>
      <w:r>
        <w:rPr>
          <w:rFonts w:ascii="Arial" w:hAnsi="Arial"/>
          <w:bCs/>
          <w:sz w:val="24"/>
          <w:szCs w:val="24"/>
        </w:rPr>
        <w:t>I</w:t>
      </w:r>
      <w:r>
        <w:rPr>
          <w:rFonts w:ascii="Arial" w:hAnsi="Arial"/>
          <w:bCs/>
          <w:sz w:val="24"/>
          <w:szCs w:val="24"/>
        </w:rPr>
        <w:t xml:space="preserve">.    </w:t>
        <w:tab/>
        <w:t xml:space="preserve"> Segue o presente à Mesa Diretora da Câmara para as providências necessárias, nos termos do art. 59 da </w:t>
      </w:r>
      <w:r>
        <w:rPr>
          <w:rFonts w:eastAsia="Calibri" w:cs="Calibri" w:ascii="Arial" w:hAnsi="Arial"/>
          <w:bCs/>
          <w:color w:val="00000A"/>
          <w:kern w:val="0"/>
          <w:sz w:val="24"/>
          <w:szCs w:val="24"/>
          <w:lang w:val="pt-BR" w:eastAsia="zh-CN" w:bidi="ar-SA"/>
        </w:rPr>
        <w:t>Lei Complementar n</w:t>
      </w:r>
      <w:r>
        <w:rPr>
          <w:rFonts w:eastAsia="Calibri" w:cs="Calibri" w:ascii="Arial" w:hAnsi="Arial"/>
          <w:bCs/>
          <w:strike/>
          <w:color w:val="00000A"/>
          <w:kern w:val="0"/>
          <w:sz w:val="24"/>
          <w:szCs w:val="24"/>
          <w:lang w:val="pt-BR" w:eastAsia="zh-CN" w:bidi="ar-SA"/>
        </w:rPr>
        <w:t>º</w:t>
      </w:r>
      <w:r>
        <w:rPr>
          <w:rFonts w:ascii="Arial" w:hAnsi="Arial"/>
          <w:bCs/>
          <w:sz w:val="24"/>
          <w:szCs w:val="24"/>
        </w:rPr>
        <w:t xml:space="preserve"> 101, de 2000.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Ver. João R</w:t>
      </w:r>
      <w:r>
        <w:rPr>
          <w:rFonts w:ascii="Arial" w:hAnsi="Arial"/>
          <w:sz w:val="24"/>
          <w:szCs w:val="24"/>
        </w:rPr>
        <w:t>oque</w:t>
      </w:r>
      <w:r>
        <w:rPr>
          <w:rFonts w:ascii="Arial" w:hAnsi="Arial"/>
          <w:sz w:val="24"/>
          <w:szCs w:val="24"/>
        </w:rPr>
        <w:t xml:space="preserve"> Boll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Presidente da COF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563C1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LibreOffice/7.0.1.2$Windows_X86_64 LibreOffice_project/7cbcfc562f6eb6708b5ff7d7397325de9e764452</Application>
  <Pages>2</Pages>
  <Words>515</Words>
  <Characters>2727</Characters>
  <CharactersWithSpaces>3249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2020-05-22T17:34:00Z</dcterms:created>
  <dc:creator>Usuário</dc:creator>
  <dc:description/>
  <dc:language>pt-BR</dc:language>
  <cp:lastModifiedBy/>
  <cp:lastPrinted>2022-03-18T14:26:01Z</cp:lastPrinted>
  <dcterms:modified xsi:type="dcterms:W3CDTF">2022-03-18T14:25:54Z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