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2352675</wp:posOffset>
            </wp:positionH>
            <wp:positionV relativeFrom="paragraph">
              <wp:posOffset>6985</wp:posOffset>
            </wp:positionV>
            <wp:extent cx="880110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549910</wp:posOffset>
                </wp:positionH>
                <wp:positionV relativeFrom="paragraph">
                  <wp:posOffset>27940</wp:posOffset>
                </wp:positionV>
                <wp:extent cx="4395470" cy="1064260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880" cy="10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tabs>
                                <w:tab w:val="clear" w:pos="708"/>
                                <w:tab w:val="left" w:pos="5893" w:leader="none"/>
                              </w:tabs>
                              <w:suppressAutoHyphens w:val="true"/>
                              <w:bidi w:val="0"/>
                              <w:spacing w:lineRule="auto" w:line="240" w:before="0" w:after="0"/>
                              <w:ind w:left="0" w:right="1077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70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43.3pt;margin-top:2.2pt;width:346pt;height:83.7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tabs>
                          <w:tab w:val="clear" w:pos="708"/>
                          <w:tab w:val="left" w:pos="5893" w:leader="none"/>
                        </w:tabs>
                        <w:suppressAutoHyphens w:val="true"/>
                        <w:bidi w:val="0"/>
                        <w:spacing w:lineRule="auto" w:line="240" w:before="0" w:after="0"/>
                        <w:ind w:left="0" w:right="1077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70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 xml:space="preserve">PARECER DA COMISSÃO DE ORÇAMENTO E FINANÇAS SOBRE A DEMONSTRAÇÃO E AVALIAÇÃO DAS METAS FISCAIS  DO </w:t>
      </w:r>
      <w:r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202</w:t>
      </w:r>
      <w:r>
        <w:rPr>
          <w:rFonts w:ascii="Arial" w:hAnsi="Arial"/>
          <w:b/>
          <w:sz w:val="24"/>
          <w:szCs w:val="24"/>
        </w:rPr>
        <w:t>2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left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6"/>
        <w:gridCol w:w="7653"/>
      </w:tblGrid>
      <w:tr>
        <w:trPr/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/2022</w:t>
            </w:r>
          </w:p>
        </w:tc>
      </w:tr>
      <w:tr>
        <w:trPr/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24</w:t>
            </w: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/0</w:t>
            </w: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5</w:t>
            </w: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/2022</w:t>
            </w:r>
          </w:p>
        </w:tc>
      </w:tr>
    </w:tbl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sz w:val="24"/>
          <w:szCs w:val="24"/>
        </w:rPr>
        <w:t>5.661</w:t>
      </w:r>
      <w:r>
        <w:rPr>
          <w:rFonts w:ascii="Arial" w:hAnsi="Arial"/>
          <w:strike w:val="false"/>
          <w:dstrike w:val="false"/>
          <w:sz w:val="24"/>
          <w:szCs w:val="24"/>
        </w:rPr>
        <w:t>, de 202</w:t>
      </w:r>
      <w:r>
        <w:rPr>
          <w:rFonts w:ascii="Arial" w:hAnsi="Arial"/>
          <w:strike w:val="false"/>
          <w:dstrike w:val="false"/>
          <w:sz w:val="24"/>
          <w:szCs w:val="24"/>
        </w:rPr>
        <w:t>1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nos termos da Lei Complementar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de 2000,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spacing w:lineRule="auto" w:line="240"/>
        <w:ind w:lef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202, sendo realizada a audiência na data de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4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/0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5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/2022</w:t>
      </w:r>
      <w:r>
        <w:rPr>
          <w:rFonts w:ascii="Arial" w:hAnsi="Arial"/>
          <w:sz w:val="24"/>
          <w:szCs w:val="24"/>
        </w:rPr>
        <w:t xml:space="preserve"> conforme ata registrada sob 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/22, bem como foram obedecidas as normas regimentais para a realização da audiência prevista na Resolução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3, de 2006.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bidi="ar-SA"/>
        </w:rPr>
      </w:pPr>
      <w:r>
        <w:rPr>
          <w:rFonts w:ascii="Arial" w:hAnsi="Arial"/>
          <w:sz w:val="24"/>
          <w:szCs w:val="24"/>
          <w:lang w:val="pt-BR" w:bidi="ar-SA"/>
        </w:rPr>
        <w:t xml:space="preserve">III.      Em relação ao Resultado Primário, </w:t>
      </w:r>
      <w:r>
        <w:rPr>
          <w:rFonts w:ascii="Arial" w:hAnsi="Arial"/>
          <w:sz w:val="24"/>
          <w:szCs w:val="24"/>
          <w:lang w:val="pt-BR" w:bidi="ar-SA"/>
        </w:rPr>
        <w:t>a</w:t>
      </w:r>
      <w:r>
        <w:rPr>
          <w:rFonts w:cs="Arial" w:ascii="Arial" w:hAnsi="Arial"/>
          <w:sz w:val="24"/>
          <w:szCs w:val="24"/>
          <w:lang w:val="pt-BR" w:bidi="ar-SA"/>
        </w:rPr>
        <w:t xml:space="preserve"> Receita Primária Total Prevista para o período era de R$ 99.388.717,15, sendo R$ 98.838.717,15 de Receitas Correntes e R$ 550.000,00 de Receitas de Capital. A Receita Primária Total Realizada para o período foi de R$ 33.275.635,32, sendo R$ 32.466.696,57 de Receitas Correntes e R$ 808.938,75 de Receitas de Capital, correspondendo a 33,48% da previsão. Na confrontação das Receitas Arrecadadas com as Despesas Pagas, apuraram-se valores positivos, ou seja, enquanto as receitas do período registraram a cifra de R$ 33.275.635,32, as despesas contabilizaram a soma de R$ 31.156.524,24,  proporcionando um superavit de R$ 2.119,111,08.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ab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IV. </w:t>
      </w:r>
      <w:r>
        <w:rPr>
          <w:rFonts w:ascii="Arial" w:hAnsi="Arial"/>
          <w:color w:val="FF0000"/>
          <w:sz w:val="24"/>
          <w:szCs w:val="24"/>
        </w:rPr>
        <w:t xml:space="preserve">  </w:t>
      </w:r>
      <w:r>
        <w:rPr>
          <w:rFonts w:ascii="Arial" w:hAnsi="Arial"/>
          <w:color w:val="auto"/>
          <w:sz w:val="24"/>
          <w:szCs w:val="24"/>
        </w:rPr>
        <w:t xml:space="preserve">Quanto ao Resultado Nominal, </w:t>
      </w:r>
      <w:r>
        <w:rPr>
          <w:rFonts w:ascii="Arial" w:hAnsi="Arial"/>
          <w:color w:val="auto"/>
          <w:sz w:val="24"/>
          <w:szCs w:val="24"/>
        </w:rPr>
        <w:t>o</w:t>
      </w:r>
      <w:r>
        <w:rPr>
          <w:rFonts w:ascii="Arial" w:hAnsi="Arial"/>
          <w:color w:val="auto"/>
          <w:sz w:val="24"/>
          <w:szCs w:val="24"/>
        </w:rPr>
        <w:t xml:space="preserve"> Demonstrativo do Resultado Nominal apresentado registrou ao término do período a importância de R$ 5.483.391,24 - </w:t>
      </w:r>
      <w:r>
        <w:rPr>
          <w:rFonts w:ascii="Arial" w:hAnsi="Arial"/>
          <w:color w:val="auto"/>
          <w:sz w:val="24"/>
          <w:szCs w:val="24"/>
        </w:rPr>
        <w:t>R</w:t>
      </w:r>
      <w:r>
        <w:rPr>
          <w:rFonts w:ascii="Arial" w:hAnsi="Arial"/>
          <w:color w:val="auto"/>
          <w:sz w:val="24"/>
          <w:szCs w:val="24"/>
        </w:rPr>
        <w:t xml:space="preserve">esultado </w:t>
      </w:r>
      <w:r>
        <w:rPr>
          <w:rFonts w:ascii="Arial" w:hAnsi="Arial"/>
          <w:color w:val="auto"/>
          <w:sz w:val="24"/>
          <w:szCs w:val="24"/>
        </w:rPr>
        <w:t>N</w:t>
      </w:r>
      <w:r>
        <w:rPr>
          <w:rFonts w:ascii="Arial" w:hAnsi="Arial"/>
          <w:color w:val="auto"/>
          <w:sz w:val="24"/>
          <w:szCs w:val="24"/>
        </w:rPr>
        <w:t>ominal ajustado, estando, portanto, acima da previsão estabelecida na LDO para o exercício. Confrontando a Dívida Fiscal Líquida Inicial no valor de R$ - 34.214.021,49 com a Dívida Fiscal Líquida registrada no término do quadrimestre, na importância de R$ - 38.835.083,41, houve um decréscimo de R$ 4.621.081,92, no confronto das dívidas existentes com os recursos disponíveis.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color w:val="auto"/>
          <w:sz w:val="24"/>
          <w:szCs w:val="24"/>
        </w:rPr>
        <w:t>V .</w:t>
        <w:tab/>
        <w:t xml:space="preserve">  Os dispêndios com educação representaram 16,06% da </w:t>
      </w:r>
      <w:r>
        <w:rPr>
          <w:rFonts w:ascii="Arial" w:hAnsi="Arial"/>
          <w:color w:val="auto"/>
          <w:sz w:val="24"/>
          <w:szCs w:val="24"/>
        </w:rPr>
        <w:t>r</w:t>
      </w:r>
      <w:r>
        <w:rPr>
          <w:rFonts w:ascii="Arial" w:hAnsi="Arial"/>
          <w:color w:val="auto"/>
          <w:sz w:val="24"/>
          <w:szCs w:val="24"/>
        </w:rPr>
        <w:t xml:space="preserve">eceita </w:t>
      </w:r>
      <w:r>
        <w:rPr>
          <w:rFonts w:ascii="Arial" w:hAnsi="Arial"/>
          <w:color w:val="auto"/>
          <w:sz w:val="24"/>
          <w:szCs w:val="24"/>
        </w:rPr>
        <w:t>r</w:t>
      </w:r>
      <w:r>
        <w:rPr>
          <w:rFonts w:ascii="Arial" w:hAnsi="Arial"/>
          <w:color w:val="auto"/>
          <w:sz w:val="24"/>
          <w:szCs w:val="24"/>
        </w:rPr>
        <w:t xml:space="preserve">esultante de </w:t>
      </w:r>
      <w:r>
        <w:rPr>
          <w:rFonts w:ascii="Arial" w:hAnsi="Arial"/>
          <w:color w:val="auto"/>
          <w:sz w:val="24"/>
          <w:szCs w:val="24"/>
        </w:rPr>
        <w:t>i</w:t>
      </w:r>
      <w:r>
        <w:rPr>
          <w:rFonts w:ascii="Arial" w:hAnsi="Arial"/>
          <w:color w:val="auto"/>
          <w:sz w:val="24"/>
          <w:szCs w:val="24"/>
        </w:rPr>
        <w:t>mpostos, devendo atingir no último quadrimestre de 2022 no mínimo 25%. Nos índices de saúde, ficou demonstrado que a aplicação foi de 17,63%; até o último quadrimestre de 2022, o índice deverá ser de no mínimo 15%. Quanto à situação com relação aos gastos de pessoal, o Poder Executivo apresentou um dispêndio de 46,05% da Receita Corrente Líquida do Município, comprovando, dessa forma, estar cumprindo o limite estabelecido na Lei de Responsabilidade Fiscal – LRF. Os gastos de pessoal do Poder Legislativo foram de 1,48%, da Receita Corrente Líquida do Município, comprovando também o cumprimento do limite estabelecido na LRF.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VI.       Pelos fundamentos declinados neste Parecer, a Comissão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1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2022, em relação aos resultados primário e nominal, </w:t>
      </w:r>
      <w:r>
        <w:rPr>
          <w:rFonts w:cs="Arial" w:ascii="Arial" w:hAnsi="Arial"/>
          <w:bCs/>
          <w:sz w:val="24"/>
          <w:szCs w:val="24"/>
        </w:rPr>
        <w:t>bem como o atendimento aos requisitos da Lei de Responsabilidade Fiscal.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 xml:space="preserve">VII.    </w:t>
        <w:tab/>
        <w:t xml:space="preserve"> Segue o presente à Mesa Diretora da Câmara para as providências necessárias, nos termos do art. 59 da </w:t>
      </w:r>
      <w:r>
        <w:rPr>
          <w:rFonts w:eastAsia="Calibri" w:cs="Calibri" w:ascii="Arial" w:hAnsi="Arial"/>
          <w:bCs/>
          <w:color w:val="00000A"/>
          <w:kern w:val="0"/>
          <w:sz w:val="24"/>
          <w:szCs w:val="24"/>
          <w:lang w:val="pt-BR" w:eastAsia="zh-CN" w:bidi="ar-SA"/>
        </w:rPr>
        <w:t>Lei Complementar n</w:t>
      </w:r>
      <w:r>
        <w:rPr>
          <w:rFonts w:eastAsia="Calibri" w:cs="Calibri" w:ascii="Arial" w:hAnsi="Arial"/>
          <w:bCs/>
          <w:strike/>
          <w:color w:val="00000A"/>
          <w:kern w:val="0"/>
          <w:sz w:val="24"/>
          <w:szCs w:val="24"/>
          <w:lang w:val="pt-BR" w:eastAsia="zh-CN" w:bidi="ar-SA"/>
        </w:rPr>
        <w:t>º</w:t>
      </w:r>
      <w:r>
        <w:rPr>
          <w:rFonts w:ascii="Arial" w:hAnsi="Arial"/>
          <w:bCs/>
          <w:sz w:val="24"/>
          <w:szCs w:val="24"/>
        </w:rPr>
        <w:t xml:space="preserve"> 101, de 2000.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Luis da Silva</w:t>
      </w:r>
      <w:r>
        <w:rPr>
          <w:rFonts w:cs="Arial" w:ascii="Arial" w:hAnsi="Arial"/>
          <w:sz w:val="24"/>
          <w:szCs w:val="24"/>
          <w:lang w:val="pt-BR" w:eastAsia="zh-CN" w:bidi="ar-SA"/>
        </w:rPr>
        <w:tab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Membro Suplente da COF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Charles Moises Muller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Membro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LibreOffice/7.0.1.2$Windows_X86_64 LibreOffice_project/7cbcfc562f6eb6708b5ff7d7397325de9e764452</Application>
  <Pages>2</Pages>
  <Words>558</Words>
  <Characters>2965</Characters>
  <CharactersWithSpaces>3530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2020-05-22T17:34:00Z</dcterms:created>
  <dc:creator>Usuário</dc:creator>
  <dc:description/>
  <dc:language>pt-BR</dc:language>
  <cp:lastModifiedBy/>
  <cp:lastPrinted>2022-05-25T16:32:34Z</cp:lastPrinted>
  <dcterms:modified xsi:type="dcterms:W3CDTF">2022-05-25T16:32:29Z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