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2102485</wp:posOffset>
            </wp:positionH>
            <wp:positionV relativeFrom="paragraph">
              <wp:posOffset>41910</wp:posOffset>
            </wp:positionV>
            <wp:extent cx="968375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135255</wp:posOffset>
                </wp:positionH>
                <wp:positionV relativeFrom="paragraph">
                  <wp:posOffset>-15875</wp:posOffset>
                </wp:positionV>
                <wp:extent cx="5467350" cy="841375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600" cy="8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pBdr>
                                <w:bottom w:val="single" w:sz="12" w:space="1" w:color="000001"/>
                              </w:pBdr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0.65pt;margin-top:-1.25pt;width:430.4pt;height:66.15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widowControl/>
                        <w:pBdr>
                          <w:bottom w:val="single" w:sz="12" w:space="1" w:color="000001"/>
                        </w:pBdr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9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 xml:space="preserve">Às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18h</w:t>
      </w:r>
      <w:r>
        <w:rPr>
          <w:rFonts w:cs="Arial" w:ascii="Arial" w:hAnsi="Arial"/>
          <w:sz w:val="24"/>
          <w:szCs w:val="24"/>
          <w:lang w:val="pt-BR" w:bidi="ar-SA"/>
        </w:rPr>
        <w:t xml:space="preserve"> do dia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4</w:t>
      </w:r>
      <w:r>
        <w:rPr>
          <w:rFonts w:cs="Arial" w:ascii="Arial" w:hAnsi="Arial"/>
          <w:sz w:val="24"/>
          <w:szCs w:val="24"/>
          <w:lang w:val="pt-BR" w:bidi="ar-SA"/>
        </w:rPr>
        <w:t xml:space="preserve"> de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maio</w:t>
      </w:r>
      <w:r>
        <w:rPr>
          <w:rFonts w:cs="Arial" w:ascii="Arial" w:hAnsi="Arial"/>
          <w:sz w:val="24"/>
          <w:szCs w:val="24"/>
          <w:lang w:val="pt-BR" w:bidi="ar-SA"/>
        </w:rPr>
        <w:t xml:space="preserve"> de 2022, reuniram-se no Município de Três Passos, tendo por local o Plenário da Câmara Municipal, sob a coordenação da Comissão de Orçamento, Finanças e Infraestrutura Urbana e Rural, os responsáveis pela realização da audiência pública de demonstração e avaliação das metas fiscais do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(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primeiro</w:t>
      </w:r>
      <w:r>
        <w:rPr>
          <w:rFonts w:cs="Arial" w:ascii="Arial" w:hAnsi="Arial"/>
          <w:sz w:val="24"/>
          <w:szCs w:val="24"/>
          <w:lang w:val="pt-BR" w:bidi="ar-SA"/>
        </w:rPr>
        <w:t>) quadrimestre de 202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z w:val="24"/>
          <w:szCs w:val="24"/>
          <w:lang w:val="pt-BR" w:bidi="ar-SA"/>
        </w:rPr>
        <w:t>. Dando início aos trabalhos, esclareceu-se, inicialmente, que, nos termos do art. 48 da Lei de Responsabilidade Fiscal, o qual dispõe sobre as audiências públicas, estas têm por objetivo possibilitar a  participação  popular na definição dos  planos  e  investimentos  públicos municipais; informar a  população sobre o planejamento municipal e a execução dos programas; assegurar a participação popular na definição dos investimentos através de votação; demonstrar e avaliar o cumprimento das metas fiscais e físicas estabelecidas na Lei  de  Diretrizes  Orçamentárias  -  LDO  e  na  Lei Orçamentária  Anual -  LOA. Foi informado aos presentes que, conforme o disposto no § 4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9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da Lei de Responsabilidade Fiscal, até o final dos meses de maio, setembro e fevereiro, o Poder Executivo demonstrará e  avaliará  o cumprimento das metas fiscais de cada quadrimestre, em audiência pública na Comissão referida no §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166 da Constituição Federal, ou equivalente nas Casas Legislativas estaduais e municipais. Assim, ressaltou-se que a Audiência Pública ora realizada destinava-se à demonstração e avaliação do cumprimento das metas fiscais do 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</w:t>
      </w:r>
      <w:r>
        <w:rPr>
          <w:rFonts w:cs="Arial" w:ascii="Arial" w:hAnsi="Arial"/>
          <w:sz w:val="24"/>
          <w:szCs w:val="24"/>
          <w:lang w:val="pt-BR" w:bidi="ar-SA"/>
        </w:rPr>
        <w:t>2</w:t>
      </w:r>
      <w:r>
        <w:rPr>
          <w:rFonts w:cs="Arial" w:ascii="Arial" w:hAnsi="Arial"/>
          <w:sz w:val="24"/>
          <w:szCs w:val="24"/>
          <w:lang w:val="pt-BR" w:bidi="ar-SA"/>
        </w:rPr>
        <w:t xml:space="preserve">, por parte do Executivo Municipal. Iniciando a demonstração, </w:t>
      </w:r>
      <w:r>
        <w:rPr>
          <w:rFonts w:cs="Arial" w:ascii="Arial" w:hAnsi="Arial"/>
          <w:sz w:val="24"/>
          <w:szCs w:val="24"/>
          <w:lang w:val="pt-BR" w:bidi="ar-SA"/>
        </w:rPr>
        <w:t>o</w:t>
      </w:r>
      <w:r>
        <w:rPr>
          <w:rFonts w:cs="Arial" w:ascii="Arial" w:hAnsi="Arial"/>
          <w:sz w:val="24"/>
          <w:szCs w:val="24"/>
          <w:lang w:val="pt-BR" w:bidi="ar-SA"/>
        </w:rPr>
        <w:t xml:space="preserve"> Sr. </w:t>
      </w:r>
      <w:r>
        <w:rPr>
          <w:rFonts w:cs="Arial" w:ascii="Arial" w:hAnsi="Arial"/>
          <w:sz w:val="24"/>
          <w:szCs w:val="24"/>
          <w:lang w:val="pt-BR" w:bidi="ar-SA"/>
        </w:rPr>
        <w:t xml:space="preserve">Maurilio Vezzose Finamor, </w:t>
      </w:r>
      <w:r>
        <w:rPr>
          <w:rFonts w:cs="Arial" w:ascii="Arial" w:hAnsi="Arial"/>
          <w:sz w:val="24"/>
          <w:szCs w:val="24"/>
          <w:lang w:val="pt-BR" w:bidi="ar-SA"/>
        </w:rPr>
        <w:t>Secretári</w:t>
      </w:r>
      <w:r>
        <w:rPr>
          <w:rFonts w:cs="Arial" w:ascii="Arial" w:hAnsi="Arial"/>
          <w:sz w:val="24"/>
          <w:szCs w:val="24"/>
          <w:lang w:val="pt-BR" w:bidi="ar-SA"/>
        </w:rPr>
        <w:t>o</w:t>
      </w:r>
      <w:r>
        <w:rPr>
          <w:rFonts w:cs="Arial" w:ascii="Arial" w:hAnsi="Arial"/>
          <w:sz w:val="24"/>
          <w:szCs w:val="24"/>
          <w:lang w:val="pt-BR" w:bidi="ar-SA"/>
        </w:rPr>
        <w:t xml:space="preserve"> Municipal de Finanças, passou a apresentar de forma resumida, alguns aspectos considerados mais relevantes da execução orçamentária e financeira até o 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</w:t>
      </w:r>
      <w:r>
        <w:rPr>
          <w:rFonts w:cs="Arial" w:ascii="Arial" w:hAnsi="Arial"/>
          <w:sz w:val="24"/>
          <w:szCs w:val="24"/>
          <w:lang w:val="pt-BR" w:bidi="ar-SA"/>
        </w:rPr>
        <w:t>2. Em relação à LDO e à LOA, foram</w:t>
      </w:r>
      <w:r>
        <w:rPr>
          <w:rFonts w:ascii="Arial" w:hAnsi="Arial"/>
          <w:sz w:val="24"/>
          <w:szCs w:val="24"/>
        </w:rPr>
        <w:t xml:space="preserve"> estabelec</w:t>
      </w:r>
      <w:r>
        <w:rPr>
          <w:rFonts w:ascii="Arial" w:hAnsi="Arial"/>
          <w:sz w:val="24"/>
          <w:szCs w:val="24"/>
        </w:rPr>
        <w:t>idas</w:t>
      </w:r>
      <w:r>
        <w:rPr>
          <w:rFonts w:ascii="Arial" w:hAnsi="Arial"/>
          <w:sz w:val="24"/>
          <w:szCs w:val="24"/>
        </w:rPr>
        <w:t xml:space="preserve"> as metas anuais, em valores correntes e constantes, </w:t>
      </w:r>
      <w:r>
        <w:rPr>
          <w:rFonts w:ascii="Arial" w:hAnsi="Arial"/>
          <w:sz w:val="24"/>
          <w:szCs w:val="24"/>
        </w:rPr>
        <w:t xml:space="preserve">da previsão das receitas primárias em R$ 99.388.717,15, da previsão das despesas primárias em R$ 114.329.713,34, das metas dos Resultados primário e nominal maior ou igual a zero, do montante da dívida pública (sem atualização monetária) igual a zero.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 xml:space="preserve">Receita Primária Total Prevista para o período era de R$ 99.388.717,15, sendo R$ 98.838.717,15 de Receitas Correntes e R$ 550.000,00 de Receitas de Capital.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 xml:space="preserve">Receita Primária Total Realizada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 xml:space="preserve">no </w:t>
      </w:r>
      <w:r>
        <w:rPr>
          <w:rFonts w:ascii="Arial" w:hAnsi="Arial"/>
          <w:sz w:val="24"/>
          <w:szCs w:val="24"/>
        </w:rPr>
        <w:t xml:space="preserve">período foi de R$ 33.275.635,32, sendo R$ 32.466.696,57 de Receitas Correntes e R$ 808.938,75 de Receitas de Capital,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 xml:space="preserve">orrespondendo a 33,48% da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revisão. </w:t>
      </w: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sz w:val="24"/>
          <w:szCs w:val="24"/>
        </w:rPr>
        <w:t xml:space="preserve">Resultado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rimário </w:t>
      </w:r>
      <w:r>
        <w:rPr>
          <w:rFonts w:ascii="Arial" w:hAnsi="Arial"/>
          <w:sz w:val="24"/>
          <w:szCs w:val="24"/>
        </w:rPr>
        <w:t>é o i</w:t>
      </w:r>
      <w:r>
        <w:rPr>
          <w:rFonts w:ascii="Arial" w:hAnsi="Arial"/>
          <w:sz w:val="24"/>
          <w:szCs w:val="24"/>
        </w:rPr>
        <w:t xml:space="preserve">ndicador de solvência fiscal do setor público, </w:t>
      </w:r>
      <w:r>
        <w:rPr>
          <w:rFonts w:ascii="Arial" w:hAnsi="Arial"/>
          <w:sz w:val="24"/>
          <w:szCs w:val="24"/>
        </w:rPr>
        <w:t>representando o c</w:t>
      </w:r>
      <w:r>
        <w:rPr>
          <w:rFonts w:ascii="Arial" w:hAnsi="Arial"/>
          <w:sz w:val="24"/>
          <w:szCs w:val="24"/>
        </w:rPr>
        <w:t xml:space="preserve">onfronto de Receitas e Despesas, para verificação de compatibilidade, ou seja, se não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</w:rPr>
        <w:t xml:space="preserve"> gastou mais do que </w:t>
      </w:r>
      <w:r>
        <w:rPr>
          <w:rFonts w:ascii="Arial" w:hAnsi="Arial"/>
          <w:sz w:val="24"/>
          <w:szCs w:val="24"/>
        </w:rPr>
        <w:t xml:space="preserve">se </w:t>
      </w:r>
      <w:r>
        <w:rPr>
          <w:rFonts w:ascii="Arial" w:hAnsi="Arial"/>
          <w:sz w:val="24"/>
          <w:szCs w:val="24"/>
        </w:rPr>
        <w:t xml:space="preserve">arrecadou no período, e se há equilíbrio no exercício. Pode ser entendido como </w:t>
      </w:r>
      <w:r>
        <w:rPr>
          <w:rFonts w:ascii="Arial" w:hAnsi="Arial"/>
          <w:sz w:val="24"/>
          <w:szCs w:val="24"/>
        </w:rPr>
        <w:t>u</w:t>
      </w:r>
      <w:r>
        <w:rPr>
          <w:rFonts w:ascii="Arial" w:hAnsi="Arial"/>
          <w:sz w:val="24"/>
          <w:szCs w:val="24"/>
        </w:rPr>
        <w:t xml:space="preserve">ma reserva para pagamento de juros da dívida, </w:t>
      </w:r>
      <w:r>
        <w:rPr>
          <w:rFonts w:ascii="Arial" w:hAnsi="Arial"/>
          <w:sz w:val="24"/>
          <w:szCs w:val="24"/>
        </w:rPr>
        <w:t>e q</w:t>
      </w:r>
      <w:r>
        <w:rPr>
          <w:rFonts w:ascii="Arial" w:hAnsi="Arial"/>
          <w:sz w:val="24"/>
          <w:szCs w:val="24"/>
        </w:rPr>
        <w:t xml:space="preserve">uando o resultado é superior aos juros, serve para amortização da dívida, permitindo um aumento do resultado nominal. Na confrontação das Receitas Arrecadadas com as Despesas Pagas, </w:t>
      </w:r>
      <w:r>
        <w:rPr>
          <w:rFonts w:ascii="Arial" w:hAnsi="Arial"/>
          <w:sz w:val="24"/>
          <w:szCs w:val="24"/>
        </w:rPr>
        <w:t>apuraram-se</w:t>
      </w:r>
      <w:r>
        <w:rPr>
          <w:rFonts w:ascii="Arial" w:hAnsi="Arial"/>
          <w:sz w:val="24"/>
          <w:szCs w:val="24"/>
        </w:rPr>
        <w:t xml:space="preserve"> valores positivos, ou seja, enquanto as receitas do período registraram a cifra de R$ 33.275.635,32, as despesas contabilizaram a soma de R$ 31.156.524,24, proporcionando um superavit de R$ 2.119,111,08. </w:t>
      </w:r>
      <w:r>
        <w:rPr>
          <w:rFonts w:ascii="Arial" w:hAnsi="Arial"/>
          <w:sz w:val="24"/>
          <w:szCs w:val="24"/>
        </w:rPr>
        <w:t xml:space="preserve">Quanto aos riscos da dívida, ou seja, o Resultado Nominal, este </w:t>
      </w:r>
      <w:r>
        <w:rPr>
          <w:rFonts w:ascii="Arial" w:hAnsi="Arial"/>
          <w:sz w:val="24"/>
          <w:szCs w:val="24"/>
        </w:rPr>
        <w:t xml:space="preserve">equivale à variação total da dívida fiscal líquida no período, comparando-a do período anterior. Demonstra se a dívida evoluiu ou diminuiu no período e mede a necessidade de financiamento no Setor Público.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 xml:space="preserve">Dívida Consolidada </w:t>
      </w:r>
      <w:r>
        <w:rPr>
          <w:rFonts w:ascii="Arial" w:hAnsi="Arial"/>
          <w:sz w:val="24"/>
          <w:szCs w:val="24"/>
        </w:rPr>
        <w:t>são as</w:t>
      </w:r>
      <w:r>
        <w:rPr>
          <w:rFonts w:ascii="Arial" w:hAnsi="Arial"/>
          <w:sz w:val="24"/>
          <w:szCs w:val="24"/>
        </w:rPr>
        <w:t xml:space="preserve"> obrigações financeiras assumidas pelo Município, para amortização em prazo </w:t>
      </w:r>
      <w:r>
        <w:rPr>
          <w:rFonts w:ascii="Arial" w:hAnsi="Arial"/>
          <w:sz w:val="24"/>
          <w:szCs w:val="24"/>
        </w:rPr>
        <w:t>superior 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doze</w:t>
      </w:r>
      <w:r>
        <w:rPr>
          <w:rFonts w:ascii="Arial" w:hAnsi="Arial"/>
          <w:sz w:val="24"/>
          <w:szCs w:val="24"/>
        </w:rPr>
        <w:t xml:space="preserve"> meses. O Demonstrativo do Resultado Nominal apresentado registrou ao término do período a importância de R$ 5.483.391,24 </w:t>
      </w:r>
      <w:r>
        <w:rPr>
          <w:rFonts w:ascii="Arial" w:hAnsi="Arial"/>
          <w:sz w:val="24"/>
          <w:szCs w:val="24"/>
        </w:rPr>
        <w:t>(R</w:t>
      </w:r>
      <w:r>
        <w:rPr>
          <w:rFonts w:ascii="Arial" w:hAnsi="Arial"/>
          <w:sz w:val="24"/>
          <w:szCs w:val="24"/>
        </w:rPr>
        <w:t xml:space="preserve">esultado </w:t>
      </w:r>
      <w:r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>ominal ajustado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, estando, portanto, acima da previsão  estabelecida na LDO para o exercício. Confrontando a Dívida Fiscal Líquida Inicial no valor de R$ - 34.214.021,49 com a Dívida Fiscal Líquida registrada no término do quadrimestre, na importância de R$ - 38.835.083,41, houve um decréscimo </w:t>
      </w:r>
      <w:r>
        <w:rPr>
          <w:rFonts w:ascii="Arial" w:hAnsi="Arial"/>
          <w:sz w:val="24"/>
          <w:szCs w:val="24"/>
        </w:rPr>
        <w:t>de R$ 4.621.081,92,</w:t>
      </w:r>
      <w:r>
        <w:rPr>
          <w:rFonts w:ascii="Arial" w:hAnsi="Arial"/>
          <w:sz w:val="24"/>
          <w:szCs w:val="24"/>
        </w:rPr>
        <w:t xml:space="preserve"> no confronto das dívidas existentes com os recursos disponíveis. </w:t>
      </w:r>
      <w:r>
        <w:rPr>
          <w:rFonts w:ascii="Arial" w:hAnsi="Arial"/>
          <w:sz w:val="24"/>
          <w:szCs w:val="24"/>
        </w:rPr>
        <w:t>Quanto ao</w:t>
      </w:r>
      <w:r>
        <w:rPr>
          <w:rFonts w:ascii="Arial" w:hAnsi="Arial"/>
          <w:sz w:val="24"/>
          <w:szCs w:val="24"/>
        </w:rPr>
        <w:t xml:space="preserve">s dispêndios com educação, representaram 16,06% da 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eceita 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esultante de 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mpostos,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evendo atingir no último quadrimestre de 2022 no mínimo 25%. </w:t>
      </w:r>
      <w:r>
        <w:rPr>
          <w:rFonts w:ascii="Arial" w:hAnsi="Arial"/>
          <w:sz w:val="24"/>
          <w:szCs w:val="24"/>
        </w:rPr>
        <w:t>Quanto aos</w:t>
      </w:r>
      <w:r>
        <w:rPr>
          <w:rFonts w:ascii="Arial" w:hAnsi="Arial"/>
          <w:sz w:val="24"/>
          <w:szCs w:val="24"/>
        </w:rPr>
        <w:t xml:space="preserve"> índices de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aúde, ficou demonstrado que a  aplicação foi de 17,63%; até o último quadrimestre de 2022, o índice deverá ser de no mínimo 15%. </w:t>
      </w:r>
      <w:r>
        <w:rPr>
          <w:rFonts w:ascii="Arial" w:hAnsi="Arial"/>
          <w:sz w:val="24"/>
          <w:szCs w:val="24"/>
        </w:rPr>
        <w:t>Quanto à s</w:t>
      </w:r>
      <w:r>
        <w:rPr>
          <w:rFonts w:ascii="Arial" w:hAnsi="Arial"/>
          <w:sz w:val="24"/>
          <w:szCs w:val="24"/>
        </w:rPr>
        <w:t xml:space="preserve">ituação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dos</w:t>
      </w:r>
      <w:r>
        <w:rPr>
          <w:rFonts w:ascii="Arial" w:hAnsi="Arial"/>
          <w:sz w:val="24"/>
          <w:szCs w:val="24"/>
        </w:rPr>
        <w:t xml:space="preserve"> gastos de pessoal,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Poder Executivo apresentou um dispêndio de 46,05% da Receita Corrente Líquida do Município, comprovando,  des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 xml:space="preserve">a  forma, estar cumprindo o  limite estabelecido </w:t>
      </w:r>
      <w:r>
        <w:rPr>
          <w:rFonts w:ascii="Arial" w:hAnsi="Arial"/>
          <w:sz w:val="24"/>
          <w:szCs w:val="24"/>
        </w:rPr>
        <w:t xml:space="preserve">na </w:t>
      </w:r>
      <w:r>
        <w:rPr>
          <w:rFonts w:ascii="Arial" w:hAnsi="Arial"/>
          <w:sz w:val="24"/>
          <w:szCs w:val="24"/>
        </w:rPr>
        <w:t xml:space="preserve">Lei de Responsabilidade Fiscal – </w:t>
      </w:r>
      <w:r>
        <w:rPr>
          <w:rFonts w:ascii="Arial" w:hAnsi="Arial"/>
          <w:sz w:val="24"/>
          <w:szCs w:val="24"/>
        </w:rPr>
        <w:t xml:space="preserve">LRF. </w:t>
      </w:r>
      <w:r>
        <w:rPr>
          <w:rFonts w:ascii="Arial" w:hAnsi="Arial"/>
          <w:sz w:val="24"/>
          <w:szCs w:val="24"/>
        </w:rPr>
        <w:t xml:space="preserve">Os gastos de pessoal do Poder Legislativo foram de 1,48% da Receita Corrente Líquida do Município, comprovando </w:t>
      </w:r>
      <w:r>
        <w:rPr>
          <w:rFonts w:ascii="Arial" w:hAnsi="Arial"/>
          <w:sz w:val="24"/>
          <w:szCs w:val="24"/>
        </w:rPr>
        <w:t xml:space="preserve">também </w:t>
      </w:r>
      <w:r>
        <w:rPr>
          <w:rFonts w:ascii="Arial" w:hAnsi="Arial"/>
          <w:sz w:val="24"/>
          <w:szCs w:val="24"/>
        </w:rPr>
        <w:t xml:space="preserve">o cumprimento do limite estabelecido </w:t>
      </w:r>
      <w:r>
        <w:rPr>
          <w:rFonts w:ascii="Arial" w:hAnsi="Arial"/>
          <w:sz w:val="24"/>
          <w:szCs w:val="24"/>
        </w:rPr>
        <w:t xml:space="preserve">na LRF. </w:t>
      </w:r>
      <w:r>
        <w:rPr>
          <w:rFonts w:ascii="Arial" w:hAnsi="Arial"/>
          <w:sz w:val="24"/>
          <w:szCs w:val="24"/>
        </w:rPr>
        <w:t xml:space="preserve">Fica demonstrado, assim, que foram atingidas as metas fiscais estabelecidas, bem como o atendimento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os requisitos </w:t>
      </w:r>
      <w:r>
        <w:rPr>
          <w:rFonts w:ascii="Arial" w:hAnsi="Arial"/>
          <w:sz w:val="24"/>
          <w:szCs w:val="24"/>
        </w:rPr>
        <w:t>da LRF</w:t>
      </w:r>
      <w:r>
        <w:rPr>
          <w:rFonts w:ascii="Arial" w:hAnsi="Arial"/>
          <w:sz w:val="24"/>
          <w:szCs w:val="24"/>
        </w:rPr>
        <w:t>, para o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de 2022. </w:t>
      </w:r>
      <w:r>
        <w:rPr>
          <w:rFonts w:cs="Arial" w:ascii="Arial" w:hAnsi="Arial"/>
          <w:sz w:val="24"/>
          <w:szCs w:val="24"/>
          <w:lang w:val="pt-BR" w:eastAsia="zh-CN" w:bidi="ar-SA"/>
        </w:rPr>
        <w:t xml:space="preserve">Assim, estando apresentados os quadros demonstrativos das </w:t>
      </w:r>
      <w:r>
        <w:rPr>
          <w:rFonts w:cs="Arial" w:ascii="Arial" w:hAnsi="Arial"/>
          <w:sz w:val="24"/>
          <w:szCs w:val="24"/>
          <w:lang w:val="pt-BR" w:eastAsia="zh-CN" w:bidi="ar-SA"/>
        </w:rPr>
        <w:t>m</w:t>
      </w:r>
      <w:r>
        <w:rPr>
          <w:rFonts w:cs="Arial" w:ascii="Arial" w:hAnsi="Arial"/>
          <w:sz w:val="24"/>
          <w:szCs w:val="24"/>
          <w:lang w:val="pt-BR" w:eastAsia="zh-CN" w:bidi="ar-SA"/>
        </w:rPr>
        <w:t xml:space="preserve">etas </w:t>
      </w:r>
      <w:r>
        <w:rPr>
          <w:rFonts w:cs="Arial" w:ascii="Arial" w:hAnsi="Arial"/>
          <w:sz w:val="24"/>
          <w:szCs w:val="24"/>
          <w:lang w:val="pt-BR" w:eastAsia="zh-CN" w:bidi="ar-SA"/>
        </w:rPr>
        <w:t>f</w:t>
      </w:r>
      <w:r>
        <w:rPr>
          <w:rFonts w:cs="Arial" w:ascii="Arial" w:hAnsi="Arial"/>
          <w:sz w:val="24"/>
          <w:szCs w:val="24"/>
          <w:lang w:val="pt-BR" w:eastAsia="zh-CN" w:bidi="ar-SA"/>
        </w:rPr>
        <w:t xml:space="preserve">iscais, o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membro</w:t>
      </w:r>
      <w:r>
        <w:rPr>
          <w:rFonts w:cs="Arial" w:ascii="Arial" w:hAnsi="Arial"/>
          <w:sz w:val="24"/>
          <w:szCs w:val="24"/>
          <w:lang w:val="pt-BR" w:eastAsia="zh-CN" w:bidi="ar-SA"/>
        </w:rPr>
        <w:t xml:space="preserve"> da Comissão de Orçamento, Finanças e Infraestrutura Urbana e Rural agradeceu a presença de todos e nada mais havendo a tratar encerrou a audiência, da qual se lavrou a presente Ata, que passa a ser assinada pelos membros da Comissão de Orçamento, Finanças e Infraestrutura Urbana e Rural.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eastAsia="zh-CN" w:bidi="ar-SA"/>
        </w:rPr>
      </w:pPr>
      <w:r>
        <w:rPr>
          <w:rFonts w:cs="Arial" w:ascii="Arial" w:hAnsi="Arial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eastAsia="zh-CN" w:bidi="ar-SA"/>
        </w:rPr>
      </w:pPr>
      <w:r>
        <w:rPr>
          <w:rFonts w:cs="Arial" w:ascii="Arial" w:hAnsi="Arial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Luis da Silva</w:t>
      </w:r>
      <w:r>
        <w:rPr>
          <w:rFonts w:cs="Arial" w:ascii="Arial" w:hAnsi="Arial"/>
          <w:sz w:val="24"/>
          <w:szCs w:val="24"/>
          <w:lang w:val="pt-BR" w:eastAsia="zh-CN" w:bidi="ar-SA"/>
        </w:rPr>
        <w:tab/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Membro Suplente da COF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Charles Moises Muller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color w:val="00000A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Membro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Gliederung1">
    <w:name w:val="Title Only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TitleOnlyLTUntertitel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TitleOnlyLTNotizen">
    <w:name w:val="Title Only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itleOnlyLTHintergrundobjekte">
    <w:name w:val="Title Only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Hintergrund">
    <w:name w:val="Title Only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Application>LibreOffice/7.0.1.2$Windows_X86_64 LibreOffice_project/7cbcfc562f6eb6708b5ff7d7397325de9e764452</Application>
  <Pages>2</Pages>
  <Words>860</Words>
  <Characters>4743</Characters>
  <CharactersWithSpaces>5622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2020-05-22T16:39:00Z</dcterms:created>
  <dc:creator>Usuário</dc:creator>
  <dc:description/>
  <dc:language>pt-BR</dc:language>
  <cp:lastModifiedBy/>
  <cp:lastPrinted>2022-05-25T15:52:46Z</cp:lastPrinted>
  <dcterms:modified xsi:type="dcterms:W3CDTF">2022-05-25T15:50:34Z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