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rPr>
          <w:lang w:val="x-none"/>
        </w:rPr>
      </w:pPr>
      <w:bookmarkStart w:id="0" w:name="_GoBack"/>
      <w:bookmarkEnd w:id="0"/>
      <w:r w:rsidRPr="004A23F3">
        <w:rPr>
          <w:noProof/>
        </w:rPr>
        <w:drawing>
          <wp:anchor distT="0" distB="0" distL="114300" distR="114300" simplePos="0" relativeHeight="251659264" behindDoc="0" locked="0" layoutInCell="1" allowOverlap="1" wp14:anchorId="691529F4" wp14:editId="6BF7601D">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496A94">
        <w:t xml:space="preserve"> Nº 32</w:t>
      </w:r>
      <w:r w:rsidR="000D64F9">
        <w:t>/2015</w:t>
      </w:r>
      <w:r w:rsidR="00F1446D">
        <w:tab/>
      </w:r>
      <w:r w:rsidR="00F1446D">
        <w:tab/>
      </w:r>
      <w:r w:rsidR="00F1446D">
        <w:tab/>
      </w:r>
      <w:r w:rsidR="00F1446D">
        <w:tab/>
      </w:r>
      <w:r w:rsidRPr="007450B1">
        <w:rPr>
          <w:b/>
        </w:rPr>
        <w:t>Data:</w:t>
      </w:r>
      <w:r w:rsidR="003924B5">
        <w:t xml:space="preserve"> </w:t>
      </w:r>
      <w:r w:rsidR="0050121D">
        <w:t>02 de abril</w:t>
      </w:r>
      <w:r w:rsidR="000D64F9">
        <w:t xml:space="preserve"> de 2015</w:t>
      </w:r>
    </w:p>
    <w:p w:rsidR="00AD6F69" w:rsidRDefault="00004A55" w:rsidP="00F1446D">
      <w:pPr>
        <w:pStyle w:val="Recuodecorpodetexto"/>
        <w:ind w:left="3238" w:hanging="3238"/>
      </w:pPr>
      <w:r>
        <w:rPr>
          <w:b/>
        </w:rPr>
        <w:t xml:space="preserve">Matéria: </w:t>
      </w:r>
      <w:r w:rsidR="008F3E80">
        <w:t>Mensagem nº</w:t>
      </w:r>
      <w:r w:rsidR="00496A94">
        <w:t xml:space="preserve"> 21</w:t>
      </w:r>
      <w:r w:rsidR="000D64F9">
        <w:t>/2015</w:t>
      </w:r>
      <w:r w:rsidR="00F1446D" w:rsidRPr="00004A55">
        <w:tab/>
      </w:r>
      <w:r>
        <w:tab/>
      </w:r>
      <w:r>
        <w:tab/>
      </w:r>
      <w:r w:rsidR="00461440">
        <w:tab/>
      </w:r>
      <w:r w:rsidR="00AD6F69" w:rsidRPr="007450B1">
        <w:rPr>
          <w:b/>
        </w:rPr>
        <w:t>Autor:</w:t>
      </w:r>
      <w:r>
        <w:t xml:space="preserve"> Poder Executivo</w:t>
      </w:r>
      <w:r w:rsidR="00AD6F69">
        <w:tab/>
      </w:r>
    </w:p>
    <w:p w:rsidR="00AD6F69" w:rsidRPr="002513A5" w:rsidRDefault="00AD6F69" w:rsidP="00F1446D">
      <w:pPr>
        <w:pStyle w:val="Recuodecorpodetexto"/>
        <w:ind w:left="3238" w:hanging="3238"/>
      </w:pPr>
      <w:r w:rsidRPr="007450B1">
        <w:rPr>
          <w:b/>
        </w:rPr>
        <w:t>Relator:</w:t>
      </w:r>
      <w:r w:rsidR="00ED5DD9">
        <w:t xml:space="preserve"> Lélia Müller </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C15D86">
        <w:rPr>
          <w:b/>
          <w:bCs/>
        </w:rPr>
        <w:t xml:space="preserve"> </w:t>
      </w:r>
      <w:r w:rsidR="00AD6F69" w:rsidRPr="007450B1">
        <w:rPr>
          <w:b/>
          <w:bCs/>
        </w:rPr>
        <w:t>nº:</w:t>
      </w:r>
      <w:r w:rsidR="00496A94">
        <w:rPr>
          <w:bCs/>
        </w:rPr>
        <w:t xml:space="preserve"> 20</w:t>
      </w:r>
      <w:r w:rsidR="000D64F9">
        <w:rPr>
          <w:bCs/>
        </w:rPr>
        <w:t>/15</w:t>
      </w:r>
    </w:p>
    <w:p w:rsidR="00AD6F69" w:rsidRDefault="00AD6F69" w:rsidP="00AD6F69">
      <w:pPr>
        <w:pStyle w:val="Recuodecorpodetexto"/>
        <w:ind w:left="3060" w:hanging="3240"/>
        <w:jc w:val="both"/>
        <w:rPr>
          <w:bCs/>
        </w:rPr>
      </w:pPr>
    </w:p>
    <w:p w:rsidR="001811F9" w:rsidRPr="00ED5DD9" w:rsidRDefault="001811F9" w:rsidP="001811F9">
      <w:pPr>
        <w:ind w:left="1134"/>
        <w:jc w:val="both"/>
        <w:rPr>
          <w:bCs/>
        </w:rPr>
      </w:pPr>
      <w:r w:rsidRPr="00ED5DD9">
        <w:rPr>
          <w:bCs/>
        </w:rPr>
        <w:t>Ementa</w:t>
      </w:r>
      <w:r w:rsidR="00447978" w:rsidRPr="00ED5DD9">
        <w:rPr>
          <w:bCs/>
        </w:rPr>
        <w:t>: –</w:t>
      </w:r>
      <w:r w:rsidR="00B300EA">
        <w:rPr>
          <w:bCs/>
        </w:rPr>
        <w:t xml:space="preserve"> </w:t>
      </w:r>
      <w:r w:rsidR="003C337D">
        <w:rPr>
          <w:bCs/>
        </w:rPr>
        <w:t>Auto</w:t>
      </w:r>
      <w:r w:rsidR="00CD1B2A">
        <w:rPr>
          <w:bCs/>
        </w:rPr>
        <w:t>riza o Poder Execut</w:t>
      </w:r>
      <w:r w:rsidR="00496A94">
        <w:rPr>
          <w:bCs/>
        </w:rPr>
        <w:t xml:space="preserve">ivo Municipal a proceder na alteração da Lei Municipal 4.753, de 19 de março de 2013. </w:t>
      </w:r>
    </w:p>
    <w:p w:rsidR="00461440" w:rsidRPr="00461440" w:rsidRDefault="00461440" w:rsidP="00461440">
      <w:pPr>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AD6F69" w:rsidRDefault="00AD6F69" w:rsidP="00AD6F69">
      <w:pPr>
        <w:jc w:val="center"/>
        <w:rPr>
          <w:b/>
          <w:bCs/>
        </w:rPr>
      </w:pPr>
      <w:r>
        <w:rPr>
          <w:b/>
          <w:bCs/>
        </w:rPr>
        <w:t>Relatório:</w:t>
      </w:r>
    </w:p>
    <w:p w:rsidR="003C337D" w:rsidRDefault="003C337D" w:rsidP="00AD6F69">
      <w:pPr>
        <w:jc w:val="center"/>
        <w:rPr>
          <w:b/>
          <w:bCs/>
        </w:rPr>
      </w:pPr>
    </w:p>
    <w:p w:rsidR="00DD3694" w:rsidRDefault="00DD3694" w:rsidP="00DD3694">
      <w:pPr>
        <w:ind w:firstLine="708"/>
        <w:jc w:val="both"/>
        <w:rPr>
          <w:bCs/>
        </w:rPr>
      </w:pPr>
      <w:r>
        <w:rPr>
          <w:bCs/>
        </w:rPr>
        <w:t xml:space="preserve">O Projeto de </w:t>
      </w:r>
      <w:r w:rsidR="008117C4">
        <w:rPr>
          <w:bCs/>
        </w:rPr>
        <w:t>Lei em</w:t>
      </w:r>
      <w:r>
        <w:rPr>
          <w:bCs/>
        </w:rPr>
        <w:t xml:space="preserve"> análise, de Origem do Poder Executivo, foi li</w:t>
      </w:r>
      <w:r w:rsidR="00880227">
        <w:rPr>
          <w:bCs/>
        </w:rPr>
        <w:t>do na sessão ordinária do dia 06/04</w:t>
      </w:r>
      <w:r w:rsidR="000D64F9">
        <w:rPr>
          <w:bCs/>
        </w:rPr>
        <w:t>/2015.</w:t>
      </w:r>
    </w:p>
    <w:p w:rsidR="00880227" w:rsidRDefault="00880227" w:rsidP="00DD3694">
      <w:pPr>
        <w:ind w:firstLine="708"/>
        <w:jc w:val="both"/>
        <w:rPr>
          <w:bCs/>
        </w:rPr>
      </w:pPr>
      <w:r>
        <w:rPr>
          <w:bCs/>
        </w:rPr>
        <w:t xml:space="preserve">Solicitou-se orientação jurídica a qual transcreve-se a seguir: </w:t>
      </w:r>
    </w:p>
    <w:p w:rsidR="003C337D" w:rsidRDefault="003C337D" w:rsidP="00DD3694">
      <w:pPr>
        <w:ind w:firstLine="708"/>
        <w:jc w:val="both"/>
        <w:rPr>
          <w:bCs/>
        </w:rPr>
      </w:pPr>
    </w:p>
    <w:p w:rsidR="00496A94" w:rsidRPr="00496A94" w:rsidRDefault="00496A94" w:rsidP="00496A94">
      <w:pPr>
        <w:ind w:left="1134" w:firstLine="708"/>
        <w:jc w:val="both"/>
        <w:rPr>
          <w:bCs/>
          <w:i/>
        </w:rPr>
      </w:pPr>
      <w:r w:rsidRPr="00496A94">
        <w:rPr>
          <w:bCs/>
          <w:i/>
        </w:rPr>
        <w:t>O projeto de lei ora analisado não possui vício de origem, o que viabiliza tecnicamente a sua tramitação, posto que a sua iniciativa partiu do Executivo Municipal.</w:t>
      </w:r>
    </w:p>
    <w:p w:rsidR="00496A94" w:rsidRPr="00496A94" w:rsidRDefault="00496A94" w:rsidP="00496A94">
      <w:pPr>
        <w:ind w:left="1134" w:firstLine="708"/>
        <w:jc w:val="both"/>
        <w:rPr>
          <w:bCs/>
          <w:i/>
        </w:rPr>
      </w:pPr>
      <w:r w:rsidRPr="00496A94">
        <w:rPr>
          <w:bCs/>
          <w:i/>
        </w:rPr>
        <w:t>Em relação ao aumento do repasse financeiro, a Administração Pública deverá observar os princípios constitucionais, constantes no caput do art. 37 da Constituição Federal, da legalidade, impessoalidade, moralidade, publicidade e eficiência, tornando o ato legítimo e revestido de finalidade (interesse público)</w:t>
      </w:r>
    </w:p>
    <w:p w:rsidR="00496A94" w:rsidRPr="00496A94" w:rsidRDefault="00496A94" w:rsidP="00496A94">
      <w:pPr>
        <w:ind w:left="1134" w:firstLine="708"/>
        <w:jc w:val="both"/>
        <w:rPr>
          <w:bCs/>
          <w:i/>
        </w:rPr>
      </w:pPr>
      <w:r w:rsidRPr="00496A94">
        <w:rPr>
          <w:bCs/>
          <w:i/>
        </w:rPr>
        <w:t>A Lei de Diretrizes Orçamentárias (LDO), cuja finalidade precípua é orientar a Lei Orçamentária Anual, deverá apresentar as condições e exigências necessárias, para que possam ser realizados os respectivos repasses no exercício da vigência da LDO, tendo esta exigência previsão no artigo 4º da Lei Complementar nº 101, de 2000 (LRF).</w:t>
      </w:r>
    </w:p>
    <w:p w:rsidR="00496A94" w:rsidRPr="00496A94" w:rsidRDefault="00496A94" w:rsidP="00496A94">
      <w:pPr>
        <w:ind w:left="1134" w:firstLine="708"/>
        <w:jc w:val="both"/>
        <w:rPr>
          <w:bCs/>
          <w:i/>
        </w:rPr>
      </w:pPr>
      <w:r w:rsidRPr="00496A94">
        <w:rPr>
          <w:bCs/>
          <w:i/>
        </w:rPr>
        <w:t>Em relação à concessão de subvenções, contribuições e auxílios há que se averiguar, também, o disposto no artigo 26 da Lei Complementar nº 101, de 2000, que diz: “A destinação de recursos para, direta ou indiretamente, cobrir necessidade de pessoas físicas ou déficits de pessoas jurídicas deverá ser autorizada por lei específica, atender às condições estabelecidas na lei de diretrizes orçamentárias e estar prevista no orçamento ou em seus créditos adicionais”.</w:t>
      </w:r>
    </w:p>
    <w:p w:rsidR="00496A94" w:rsidRPr="00496A94" w:rsidRDefault="00496A94" w:rsidP="00496A94">
      <w:pPr>
        <w:ind w:left="1134" w:firstLine="708"/>
        <w:jc w:val="both"/>
        <w:rPr>
          <w:bCs/>
          <w:i/>
        </w:rPr>
      </w:pPr>
      <w:r w:rsidRPr="00496A94">
        <w:rPr>
          <w:bCs/>
          <w:i/>
        </w:rPr>
        <w:t>Ainda importante observar todos os requisitos que dizem respeito a autorização de transferência dos recursos a entidades privadas dispostos nos artigos 22 e 23 da Lei Municipal nº 4. 828, de 2013, que dispõe sobre a LDO para o exercício de 2014, conforme transcreve-se a seguir:</w:t>
      </w:r>
    </w:p>
    <w:p w:rsidR="00496A94" w:rsidRPr="00496A94" w:rsidRDefault="00496A94" w:rsidP="00496A94">
      <w:pPr>
        <w:ind w:left="1134" w:firstLine="708"/>
        <w:jc w:val="both"/>
        <w:rPr>
          <w:bCs/>
          <w:i/>
        </w:rPr>
      </w:pPr>
    </w:p>
    <w:p w:rsidR="00496A94" w:rsidRPr="00496A94" w:rsidRDefault="00496A94" w:rsidP="00496A94">
      <w:pPr>
        <w:ind w:left="1134" w:firstLine="708"/>
        <w:jc w:val="both"/>
        <w:rPr>
          <w:bCs/>
          <w:i/>
        </w:rPr>
      </w:pPr>
      <w:r w:rsidRPr="00496A94">
        <w:rPr>
          <w:bCs/>
          <w:i/>
        </w:rPr>
        <w:t>Seção VIII</w:t>
      </w:r>
    </w:p>
    <w:p w:rsidR="00496A94" w:rsidRPr="00496A94" w:rsidRDefault="00496A94" w:rsidP="00496A94">
      <w:pPr>
        <w:ind w:left="1134" w:firstLine="708"/>
        <w:jc w:val="both"/>
        <w:rPr>
          <w:bCs/>
          <w:i/>
        </w:rPr>
      </w:pPr>
      <w:r w:rsidRPr="00496A94">
        <w:rPr>
          <w:bCs/>
          <w:i/>
        </w:rPr>
        <w:t>Das Transferências de Recursos para o Setor Privado</w:t>
      </w:r>
    </w:p>
    <w:p w:rsidR="00496A94" w:rsidRPr="00496A94" w:rsidRDefault="00496A94" w:rsidP="00496A94">
      <w:pPr>
        <w:ind w:left="1134" w:firstLine="708"/>
        <w:jc w:val="both"/>
        <w:rPr>
          <w:bCs/>
          <w:i/>
        </w:rPr>
      </w:pPr>
    </w:p>
    <w:p w:rsidR="00496A94" w:rsidRPr="00496A94" w:rsidRDefault="00496A94" w:rsidP="00496A94">
      <w:pPr>
        <w:ind w:left="1134" w:firstLine="708"/>
        <w:jc w:val="both"/>
        <w:rPr>
          <w:bCs/>
          <w:i/>
        </w:rPr>
      </w:pPr>
      <w:r w:rsidRPr="00496A94">
        <w:rPr>
          <w:bCs/>
          <w:i/>
        </w:rPr>
        <w:t xml:space="preserve">Art. 22. Somente será autorizada a transferência de recursos a título de subvenções sociais, auxílios ou contribuições a entidades privadas sem fins lucrativos e desde que sejam: </w:t>
      </w:r>
    </w:p>
    <w:p w:rsidR="00496A94" w:rsidRPr="00496A94" w:rsidRDefault="00496A94" w:rsidP="00496A94">
      <w:pPr>
        <w:ind w:left="1134" w:firstLine="708"/>
        <w:jc w:val="both"/>
        <w:rPr>
          <w:bCs/>
          <w:i/>
        </w:rPr>
      </w:pPr>
      <w:r w:rsidRPr="00496A94">
        <w:rPr>
          <w:bCs/>
          <w:i/>
        </w:rPr>
        <w:t>I - de atendimento direto e gratuito ao público e voltadas para a educação básica;</w:t>
      </w:r>
    </w:p>
    <w:p w:rsidR="00496A94" w:rsidRPr="00496A94" w:rsidRDefault="00496A94" w:rsidP="00496A94">
      <w:pPr>
        <w:ind w:left="1134" w:firstLine="708"/>
        <w:jc w:val="both"/>
        <w:rPr>
          <w:bCs/>
          <w:i/>
        </w:rPr>
      </w:pPr>
      <w:r w:rsidRPr="00496A94">
        <w:rPr>
          <w:bCs/>
          <w:i/>
        </w:rPr>
        <w:t>II – para o desenvolvimento de programas voltados a manutenção e preservação do Meio Ambiente;</w:t>
      </w:r>
    </w:p>
    <w:p w:rsidR="00496A94" w:rsidRPr="00496A94" w:rsidRDefault="00496A94" w:rsidP="00496A94">
      <w:pPr>
        <w:ind w:left="1134" w:firstLine="708"/>
        <w:jc w:val="both"/>
        <w:rPr>
          <w:bCs/>
          <w:i/>
        </w:rPr>
      </w:pPr>
      <w:r w:rsidRPr="00496A94">
        <w:rPr>
          <w:bCs/>
          <w:i/>
        </w:rPr>
        <w:t>III - voltadas a ações de saúde e de atendimento direto e gratuito ao público, prestadas por entidades sem fins lucrativos que sejam certificadas como entidades beneficentes de assistência social na área de saúde;</w:t>
      </w:r>
    </w:p>
    <w:p w:rsidR="00496A94" w:rsidRPr="00496A94" w:rsidRDefault="00496A94" w:rsidP="00496A94">
      <w:pPr>
        <w:ind w:left="1134" w:firstLine="708"/>
        <w:jc w:val="both"/>
        <w:rPr>
          <w:bCs/>
          <w:i/>
        </w:rPr>
      </w:pPr>
      <w:r w:rsidRPr="00496A94">
        <w:rPr>
          <w:bCs/>
          <w:i/>
        </w:rPr>
        <w:t>IV - qualificadas como Organização da Sociedade Civil de Interesse Público - OSCIP, com termo de parceria firmado com o Poder Público Municipal, de acordo com a Lei Federal nº 9.790/1999, e que participem da execução de programas constantes no plano plurianual, devendo a destinação de recursos guardar conformidade com os objetivos sociais da entidade;</w:t>
      </w:r>
    </w:p>
    <w:p w:rsidR="00496A94" w:rsidRPr="00496A94" w:rsidRDefault="00496A94" w:rsidP="00496A94">
      <w:pPr>
        <w:ind w:left="1134" w:firstLine="708"/>
        <w:jc w:val="both"/>
        <w:rPr>
          <w:bCs/>
          <w:i/>
        </w:rPr>
      </w:pPr>
      <w:r w:rsidRPr="00496A94">
        <w:rPr>
          <w:bCs/>
          <w:i/>
        </w:rPr>
        <w:t>V - qualificadas para o desenvolvimento de atividades esportivas que contribuam para a capacitação de atletas;</w:t>
      </w:r>
    </w:p>
    <w:p w:rsidR="00496A94" w:rsidRPr="00496A94" w:rsidRDefault="00496A94" w:rsidP="00496A94">
      <w:pPr>
        <w:ind w:left="1134" w:firstLine="708"/>
        <w:jc w:val="both"/>
        <w:rPr>
          <w:bCs/>
          <w:i/>
        </w:rPr>
      </w:pPr>
      <w:r w:rsidRPr="00496A94">
        <w:rPr>
          <w:bCs/>
          <w:i/>
        </w:rPr>
        <w:t>VI - voltadas ao atendimento de pessoas portadoras de necessidades especiais;</w:t>
      </w:r>
    </w:p>
    <w:p w:rsidR="00496A94" w:rsidRPr="00496A94" w:rsidRDefault="00496A94" w:rsidP="00496A94">
      <w:pPr>
        <w:ind w:left="1134" w:firstLine="708"/>
        <w:jc w:val="both"/>
        <w:rPr>
          <w:bCs/>
          <w:i/>
        </w:rPr>
      </w:pPr>
      <w:r w:rsidRPr="00496A94">
        <w:rPr>
          <w:bCs/>
          <w:i/>
        </w:rPr>
        <w:t xml:space="preserve">VII - voltadas ao incentivo da agricultura familiar; </w:t>
      </w:r>
    </w:p>
    <w:p w:rsidR="00496A94" w:rsidRPr="00496A94" w:rsidRDefault="00496A94" w:rsidP="00496A94">
      <w:pPr>
        <w:ind w:left="1134" w:firstLine="708"/>
        <w:jc w:val="both"/>
        <w:rPr>
          <w:bCs/>
          <w:i/>
        </w:rPr>
      </w:pPr>
      <w:r w:rsidRPr="00496A94">
        <w:rPr>
          <w:bCs/>
          <w:i/>
        </w:rPr>
        <w:t xml:space="preserve">VIII - voltadas ao atendimento de pessoas carentes em situação de risco social ou diretamente alcançadas por programas e ações de combate à pobreza e geração de trabalho e renda; </w:t>
      </w:r>
    </w:p>
    <w:p w:rsidR="00496A94" w:rsidRPr="00496A94" w:rsidRDefault="00496A94" w:rsidP="00496A94">
      <w:pPr>
        <w:ind w:left="1134" w:firstLine="708"/>
        <w:jc w:val="both"/>
        <w:rPr>
          <w:bCs/>
          <w:i/>
        </w:rPr>
      </w:pPr>
      <w:r w:rsidRPr="00496A94">
        <w:rPr>
          <w:bCs/>
          <w:i/>
        </w:rPr>
        <w:t>IX – voltadas a organização de estudantes na busca de qualificação, mesmo que fora do município;</w:t>
      </w:r>
    </w:p>
    <w:p w:rsidR="00496A94" w:rsidRPr="00496A94" w:rsidRDefault="00496A94" w:rsidP="00496A94">
      <w:pPr>
        <w:ind w:left="1134" w:firstLine="708"/>
        <w:jc w:val="both"/>
        <w:rPr>
          <w:bCs/>
          <w:i/>
        </w:rPr>
      </w:pPr>
      <w:r w:rsidRPr="00496A94">
        <w:rPr>
          <w:bCs/>
          <w:i/>
        </w:rPr>
        <w:t>X – voltadas ao incentivo cultural e de turismo do município.</w:t>
      </w:r>
    </w:p>
    <w:p w:rsidR="00496A94" w:rsidRPr="00496A94" w:rsidRDefault="00496A94" w:rsidP="00496A94">
      <w:pPr>
        <w:ind w:left="1134" w:firstLine="708"/>
        <w:jc w:val="both"/>
        <w:rPr>
          <w:bCs/>
          <w:i/>
        </w:rPr>
      </w:pPr>
      <w:r w:rsidRPr="00496A94">
        <w:rPr>
          <w:bCs/>
          <w:i/>
        </w:rPr>
        <w:t>§ 1º No caso do inciso IV, as transferências serão efetuadas por meio de termo de parceria, caso em que deverá ser observada a legislação específica pertinente a essas entidades e processo seletivo de ampla divulgação.</w:t>
      </w:r>
    </w:p>
    <w:p w:rsidR="00496A94" w:rsidRPr="00496A94" w:rsidRDefault="00496A94" w:rsidP="00496A94">
      <w:pPr>
        <w:ind w:left="1134" w:firstLine="708"/>
        <w:jc w:val="both"/>
        <w:rPr>
          <w:bCs/>
          <w:i/>
        </w:rPr>
      </w:pPr>
      <w:r w:rsidRPr="00496A94">
        <w:rPr>
          <w:bCs/>
          <w:i/>
        </w:rPr>
        <w:t xml:space="preserve">§ 2º As entidades deverão ser constituídas preferencialmente na forma de associações ou cooperativas, desde que atendam as áreas citadas. </w:t>
      </w:r>
    </w:p>
    <w:p w:rsidR="00496A94" w:rsidRPr="00496A94" w:rsidRDefault="00496A94" w:rsidP="00496A94">
      <w:pPr>
        <w:ind w:left="1134" w:firstLine="708"/>
        <w:jc w:val="both"/>
        <w:rPr>
          <w:bCs/>
          <w:i/>
        </w:rPr>
      </w:pPr>
    </w:p>
    <w:p w:rsidR="00496A94" w:rsidRPr="00496A94" w:rsidRDefault="00496A94" w:rsidP="00496A94">
      <w:pPr>
        <w:ind w:left="1134" w:firstLine="708"/>
        <w:jc w:val="both"/>
        <w:rPr>
          <w:bCs/>
          <w:i/>
        </w:rPr>
      </w:pPr>
      <w:r w:rsidRPr="00496A94">
        <w:rPr>
          <w:bCs/>
          <w:i/>
        </w:rPr>
        <w:t>Art. 23. Sem prejuízo das disposições contidas nos arts. 19, 20, 21 e 22 desta Lei, a transferência de recursos prevista na Lei nº 4.320, de 1964, a entidade privada sem fins lucrativos, dependerá ainda de:</w:t>
      </w:r>
    </w:p>
    <w:p w:rsidR="00496A94" w:rsidRPr="00496A94" w:rsidRDefault="00496A94" w:rsidP="00496A94">
      <w:pPr>
        <w:ind w:left="1134" w:firstLine="708"/>
        <w:jc w:val="both"/>
        <w:rPr>
          <w:bCs/>
          <w:i/>
        </w:rPr>
      </w:pPr>
      <w:r w:rsidRPr="00496A94">
        <w:rPr>
          <w:bCs/>
          <w:i/>
        </w:rPr>
        <w:t>I – execução da despesa na modalidade de aplicação “50 – Transferências a Instituições Privadas sem fins lucrativos” e nos elementos de despesa “41 - Contribuições”, “42 - Auxílio” ou “43 - Subvenções Sociais”;</w:t>
      </w:r>
    </w:p>
    <w:p w:rsidR="00496A94" w:rsidRPr="00496A94" w:rsidRDefault="00496A94" w:rsidP="00496A94">
      <w:pPr>
        <w:ind w:left="1134" w:firstLine="708"/>
        <w:jc w:val="both"/>
        <w:rPr>
          <w:bCs/>
          <w:i/>
        </w:rPr>
      </w:pPr>
      <w:r w:rsidRPr="00496A94">
        <w:rPr>
          <w:bCs/>
          <w:i/>
        </w:rPr>
        <w:t>II - apresentação da prestação de contas de recursos anteriormente recebidos, nos prazos e condições fixados na legislação, no convênio ou instrumento congênere;</w:t>
      </w:r>
    </w:p>
    <w:p w:rsidR="00496A94" w:rsidRPr="00496A94" w:rsidRDefault="00496A94" w:rsidP="00496A94">
      <w:pPr>
        <w:ind w:left="1134" w:firstLine="708"/>
        <w:jc w:val="both"/>
        <w:rPr>
          <w:bCs/>
          <w:i/>
        </w:rPr>
      </w:pPr>
      <w:r w:rsidRPr="00496A94">
        <w:rPr>
          <w:bCs/>
          <w:i/>
        </w:rPr>
        <w:t>III - inexistência de prestação de contas rejeitada pelo Município;</w:t>
      </w:r>
    </w:p>
    <w:p w:rsidR="00496A94" w:rsidRPr="00496A94" w:rsidRDefault="00496A94" w:rsidP="00496A94">
      <w:pPr>
        <w:ind w:left="1134" w:firstLine="708"/>
        <w:jc w:val="both"/>
        <w:rPr>
          <w:bCs/>
          <w:i/>
        </w:rPr>
      </w:pPr>
      <w:r w:rsidRPr="00496A94">
        <w:rPr>
          <w:bCs/>
          <w:i/>
        </w:rPr>
        <w:t xml:space="preserve">IV - comprovação pela entidade da regularidade do mandato de sua diretoria, além da comprovação da atividade regular, inclusive com inscrição no CNPJ, por meio da declaração de funcionamento regular da </w:t>
      </w:r>
      <w:r w:rsidRPr="00496A94">
        <w:rPr>
          <w:bCs/>
          <w:i/>
        </w:rPr>
        <w:lastRenderedPageBreak/>
        <w:t>entidade beneficiária, emitida no exercício de 2014 pelo conselho municipal respectivo;</w:t>
      </w:r>
    </w:p>
    <w:p w:rsidR="00496A94" w:rsidRPr="00496A94" w:rsidRDefault="00496A94" w:rsidP="00496A94">
      <w:pPr>
        <w:ind w:left="1134" w:firstLine="708"/>
        <w:jc w:val="both"/>
        <w:rPr>
          <w:bCs/>
          <w:i/>
        </w:rPr>
      </w:pPr>
      <w:r w:rsidRPr="00496A94">
        <w:rPr>
          <w:bCs/>
          <w:i/>
        </w:rPr>
        <w:t xml:space="preserve">V - manifestação prévia e expressa da assessoria jurídica e do controle interno do Município sobre a adequação dos convênios e instrumentos congêneres às normas afetas à matéria; </w:t>
      </w:r>
    </w:p>
    <w:p w:rsidR="00496A94" w:rsidRPr="00496A94" w:rsidRDefault="00496A94" w:rsidP="00496A94">
      <w:pPr>
        <w:ind w:left="1134" w:firstLine="708"/>
        <w:jc w:val="both"/>
        <w:rPr>
          <w:bCs/>
          <w:i/>
        </w:rPr>
      </w:pPr>
      <w:r w:rsidRPr="00496A94">
        <w:rPr>
          <w:bCs/>
          <w:i/>
        </w:rPr>
        <w:t>VI – apresentação de Plano de Aplicação dos recursos (Plano de Trabalho);</w:t>
      </w:r>
    </w:p>
    <w:p w:rsidR="00496A94" w:rsidRPr="00496A94" w:rsidRDefault="00496A94" w:rsidP="00496A94">
      <w:pPr>
        <w:ind w:left="1134" w:firstLine="708"/>
        <w:jc w:val="both"/>
        <w:rPr>
          <w:bCs/>
          <w:i/>
        </w:rPr>
      </w:pPr>
      <w:r w:rsidRPr="00496A94">
        <w:rPr>
          <w:bCs/>
          <w:i/>
        </w:rPr>
        <w:t>VII – comprovação de regularidade para com a Fazenda Municipal, a previdência social e o Fundo de Garantia.</w:t>
      </w:r>
    </w:p>
    <w:p w:rsidR="00496A94" w:rsidRPr="00496A94" w:rsidRDefault="00496A94" w:rsidP="00496A94">
      <w:pPr>
        <w:ind w:left="1134" w:firstLine="708"/>
        <w:jc w:val="both"/>
        <w:rPr>
          <w:bCs/>
          <w:i/>
        </w:rPr>
      </w:pPr>
      <w:r w:rsidRPr="00496A94">
        <w:rPr>
          <w:bCs/>
          <w:i/>
        </w:rPr>
        <w:t xml:space="preserve"> </w:t>
      </w:r>
    </w:p>
    <w:p w:rsidR="00496A94" w:rsidRPr="00496A94" w:rsidRDefault="00496A94" w:rsidP="00496A94">
      <w:pPr>
        <w:ind w:left="1134" w:firstLine="708"/>
        <w:jc w:val="both"/>
        <w:rPr>
          <w:bCs/>
          <w:i/>
        </w:rPr>
      </w:pPr>
      <w:r w:rsidRPr="00496A94">
        <w:rPr>
          <w:bCs/>
          <w:i/>
        </w:rPr>
        <w:t xml:space="preserve">Importa destacar que de acordo com IGAM (Instituto Gamma de Assessoria a órgãos Públicos), é relevante que o Executivo observe os seguintes requisitos procedimentos quando o assunto é repasse de recursos financeiros à área privada, em se tratando de entidades sem fins lucrativos: </w:t>
      </w:r>
    </w:p>
    <w:p w:rsidR="00496A94" w:rsidRPr="00496A94" w:rsidRDefault="00496A94" w:rsidP="00496A94">
      <w:pPr>
        <w:ind w:left="1134" w:firstLine="708"/>
        <w:jc w:val="both"/>
        <w:rPr>
          <w:bCs/>
          <w:i/>
        </w:rPr>
      </w:pPr>
    </w:p>
    <w:p w:rsidR="00496A94" w:rsidRPr="00496A94" w:rsidRDefault="00496A94" w:rsidP="00496A94">
      <w:pPr>
        <w:ind w:left="1134" w:firstLine="708"/>
        <w:jc w:val="both"/>
        <w:rPr>
          <w:bCs/>
          <w:i/>
        </w:rPr>
      </w:pPr>
      <w:r w:rsidRPr="00496A94">
        <w:rPr>
          <w:bCs/>
          <w:i/>
        </w:rPr>
        <w:t></w:t>
      </w:r>
      <w:r w:rsidRPr="00496A94">
        <w:rPr>
          <w:bCs/>
          <w:i/>
        </w:rPr>
        <w:tab/>
        <w:t>Observar previsão, no texto da LDO, para as condições e requisitos para a transferência de recursos à área privada;</w:t>
      </w:r>
    </w:p>
    <w:p w:rsidR="00496A94" w:rsidRPr="00496A94" w:rsidRDefault="00496A94" w:rsidP="00496A94">
      <w:pPr>
        <w:ind w:left="1134" w:firstLine="708"/>
        <w:jc w:val="both"/>
        <w:rPr>
          <w:bCs/>
          <w:i/>
        </w:rPr>
      </w:pPr>
      <w:r w:rsidRPr="00496A94">
        <w:rPr>
          <w:bCs/>
          <w:i/>
        </w:rPr>
        <w:t></w:t>
      </w:r>
      <w:r w:rsidRPr="00496A94">
        <w:rPr>
          <w:bCs/>
          <w:i/>
        </w:rPr>
        <w:tab/>
        <w:t>A finalidade (objetivo) para a efetivação do repasse, por se tratar de despesa do Município, deverá estar contemplado, nos programas e ações constantes no Anexo de prioridades do PPA, da LDO e, também, deverá estar inserido orçamento anual ou seus créditos adicionais;</w:t>
      </w:r>
    </w:p>
    <w:p w:rsidR="00496A94" w:rsidRPr="00496A94" w:rsidRDefault="00496A94" w:rsidP="00496A94">
      <w:pPr>
        <w:ind w:left="1134" w:firstLine="708"/>
        <w:jc w:val="both"/>
        <w:rPr>
          <w:bCs/>
          <w:i/>
        </w:rPr>
      </w:pPr>
      <w:r w:rsidRPr="00496A94">
        <w:rPr>
          <w:bCs/>
          <w:i/>
        </w:rPr>
        <w:t></w:t>
      </w:r>
      <w:r w:rsidRPr="00496A94">
        <w:rPr>
          <w:bCs/>
          <w:i/>
        </w:rPr>
        <w:tab/>
        <w:t>Deverá ser apresentado plano de trabalho proposto pela organização interessada, devendo ser analisado pela Administração (gestor do recurso) o interesse público (finalidade) e a compatibilidade com os objetivos dos programas de governo, devendo, após esta apreciação, ser encaminhado para o respectivo conselho municipal (se for o caso: saúde, assistência, educação, etc.) para apreciação a aprovação;</w:t>
      </w:r>
    </w:p>
    <w:p w:rsidR="00496A94" w:rsidRPr="00496A94" w:rsidRDefault="00496A94" w:rsidP="00496A94">
      <w:pPr>
        <w:ind w:left="1134" w:firstLine="708"/>
        <w:jc w:val="both"/>
        <w:rPr>
          <w:bCs/>
          <w:i/>
        </w:rPr>
      </w:pPr>
      <w:r w:rsidRPr="00496A94">
        <w:rPr>
          <w:bCs/>
          <w:i/>
        </w:rPr>
        <w:t></w:t>
      </w:r>
      <w:r w:rsidRPr="00496A94">
        <w:rPr>
          <w:bCs/>
          <w:i/>
        </w:rPr>
        <w:tab/>
        <w:t>Deferimento ou indeferimento da Administração em relação ao pedido;</w:t>
      </w:r>
    </w:p>
    <w:p w:rsidR="00496A94" w:rsidRPr="00496A94" w:rsidRDefault="00496A94" w:rsidP="00496A94">
      <w:pPr>
        <w:ind w:left="1134" w:firstLine="708"/>
        <w:jc w:val="both"/>
        <w:rPr>
          <w:bCs/>
          <w:i/>
        </w:rPr>
      </w:pPr>
      <w:r w:rsidRPr="00496A94">
        <w:rPr>
          <w:bCs/>
          <w:i/>
        </w:rPr>
        <w:t></w:t>
      </w:r>
      <w:r w:rsidRPr="00496A94">
        <w:rPr>
          <w:bCs/>
          <w:i/>
        </w:rPr>
        <w:tab/>
        <w:t xml:space="preserve">Lei específica indicando o valor, a finalidade, a entidade beneficiada e o período do benefício, devendo na sua justificativa ficar transparente o interesse público (o motivo) do referido repasse; </w:t>
      </w:r>
    </w:p>
    <w:p w:rsidR="00496A94" w:rsidRPr="00496A94" w:rsidRDefault="00496A94" w:rsidP="00496A94">
      <w:pPr>
        <w:ind w:left="1134" w:firstLine="708"/>
        <w:jc w:val="both"/>
        <w:rPr>
          <w:bCs/>
          <w:i/>
        </w:rPr>
      </w:pPr>
      <w:r w:rsidRPr="00496A94">
        <w:rPr>
          <w:bCs/>
          <w:i/>
        </w:rPr>
        <w:t></w:t>
      </w:r>
      <w:r w:rsidRPr="00496A94">
        <w:rPr>
          <w:bCs/>
          <w:i/>
        </w:rPr>
        <w:tab/>
        <w:t>Firmar o contrato de repasse contendo cláusulas com valor, forma de repasse, período de aplicação, prazo para apresentação de contas, forma que se dará a prestação de contas, a penalidade no caso de não observância do plano de aplicação (trabalho), inclusive quanto aos prazos.</w:t>
      </w:r>
    </w:p>
    <w:p w:rsidR="00496A94" w:rsidRPr="00496A94" w:rsidRDefault="00496A94" w:rsidP="00496A94">
      <w:pPr>
        <w:ind w:left="1134" w:firstLine="708"/>
        <w:jc w:val="both"/>
        <w:rPr>
          <w:bCs/>
          <w:i/>
        </w:rPr>
      </w:pPr>
      <w:r w:rsidRPr="00496A94">
        <w:rPr>
          <w:bCs/>
          <w:i/>
        </w:rPr>
        <w:t></w:t>
      </w:r>
      <w:r w:rsidRPr="00496A94">
        <w:rPr>
          <w:bCs/>
          <w:i/>
        </w:rPr>
        <w:tab/>
        <w:t>Finalmente o valor pode ser repassado à entidade beneficiada, devendo, para tanto, se depositado em conta bancária específica de forma que a prestação de contas contemple a exigência do extrato da movimentação financeira do recurso repassado pelo Município.</w:t>
      </w:r>
    </w:p>
    <w:p w:rsidR="00496A94" w:rsidRPr="00496A94" w:rsidRDefault="00496A94" w:rsidP="00496A94">
      <w:pPr>
        <w:ind w:left="1134" w:firstLine="708"/>
        <w:jc w:val="both"/>
        <w:rPr>
          <w:bCs/>
          <w:i/>
        </w:rPr>
      </w:pPr>
      <w:r w:rsidRPr="00496A94">
        <w:rPr>
          <w:bCs/>
          <w:i/>
        </w:rPr>
        <w:t></w:t>
      </w:r>
      <w:r w:rsidRPr="00496A94">
        <w:rPr>
          <w:bCs/>
          <w:i/>
        </w:rPr>
        <w:tab/>
        <w:t>Sugere-se, por último, que o responsável pela análise da prestação de contas, ou outro órgão definido pela Administração, oriente os procedimentos ás entidades, tanto no que diz respeito à forma adequada para aplicação dos recursos na execução do plano de trabalho, como o conteúdo e a forma de apresentação da prestação de contas (documentos que devam integrar), de maneira que seja evitada a sua devolução ou rejeição.</w:t>
      </w:r>
    </w:p>
    <w:p w:rsidR="00496A94" w:rsidRPr="00496A94" w:rsidRDefault="00496A94" w:rsidP="00496A94">
      <w:pPr>
        <w:ind w:left="1134" w:firstLine="708"/>
        <w:jc w:val="both"/>
        <w:rPr>
          <w:bCs/>
          <w:i/>
        </w:rPr>
      </w:pPr>
      <w:r w:rsidRPr="00496A94">
        <w:rPr>
          <w:bCs/>
          <w:i/>
        </w:rPr>
        <w:t></w:t>
      </w:r>
      <w:r w:rsidRPr="00496A94">
        <w:rPr>
          <w:bCs/>
          <w:i/>
        </w:rPr>
        <w:tab/>
        <w:t xml:space="preserve">Realizar a publicação eletrônica no portal municipal com indicação do beneficiado conforme determina o TCU (IN 28/99). </w:t>
      </w:r>
    </w:p>
    <w:p w:rsidR="00496A94" w:rsidRPr="00496A94" w:rsidRDefault="00496A94" w:rsidP="00496A94">
      <w:pPr>
        <w:ind w:left="1134" w:firstLine="708"/>
        <w:jc w:val="both"/>
        <w:rPr>
          <w:bCs/>
          <w:i/>
        </w:rPr>
      </w:pPr>
      <w:r w:rsidRPr="00496A94">
        <w:rPr>
          <w:bCs/>
          <w:i/>
        </w:rPr>
        <w:tab/>
        <w:t xml:space="preserve">O plano de trabalho foi devidamente apresentado pela entidade, o qual determina o valor a ser repassado pela entidade, a sua aplicabilidade (metas e etapas), permitindo uma análise mais eficiente do Poder Legislativo quando da aprovação, ou não da matéria. </w:t>
      </w:r>
    </w:p>
    <w:p w:rsidR="00496A94" w:rsidRPr="00496A94" w:rsidRDefault="00496A94" w:rsidP="00496A94">
      <w:pPr>
        <w:ind w:left="1134" w:firstLine="708"/>
        <w:jc w:val="both"/>
        <w:rPr>
          <w:bCs/>
          <w:i/>
        </w:rPr>
      </w:pPr>
      <w:r w:rsidRPr="00496A94">
        <w:rPr>
          <w:bCs/>
          <w:i/>
        </w:rPr>
        <w:lastRenderedPageBreak/>
        <w:t xml:space="preserve">No que diz respeito a iniciativa da cedência de servidor, tem-se que tal compete ao Prefeito, eis que agente público do Quadro de Pessoal da Administração, firme o disposto ao art. 61, § 1º, “a” e “c” da CF. </w:t>
      </w:r>
    </w:p>
    <w:p w:rsidR="00496A94" w:rsidRPr="00496A94" w:rsidRDefault="00496A94" w:rsidP="00496A94">
      <w:pPr>
        <w:ind w:left="1134" w:firstLine="708"/>
        <w:jc w:val="both"/>
        <w:rPr>
          <w:bCs/>
          <w:i/>
        </w:rPr>
      </w:pPr>
      <w:r w:rsidRPr="00496A94">
        <w:rPr>
          <w:bCs/>
          <w:i/>
        </w:rPr>
        <w:t xml:space="preserve">A LC nº 1, de 16 de agosto de 2011 – que dispõe sobre o Regime Jurídico dos Servidores do Município prevê a cedência de servidores na seguinte circunstância: </w:t>
      </w:r>
    </w:p>
    <w:p w:rsidR="00496A94" w:rsidRPr="00496A94" w:rsidRDefault="00496A94" w:rsidP="00496A94">
      <w:pPr>
        <w:ind w:left="1134" w:firstLine="708"/>
        <w:jc w:val="both"/>
        <w:rPr>
          <w:bCs/>
          <w:i/>
        </w:rPr>
      </w:pPr>
    </w:p>
    <w:p w:rsidR="00496A94" w:rsidRPr="00496A94" w:rsidRDefault="00496A94" w:rsidP="00496A94">
      <w:pPr>
        <w:ind w:left="1134" w:firstLine="708"/>
        <w:jc w:val="both"/>
        <w:rPr>
          <w:bCs/>
          <w:i/>
        </w:rPr>
      </w:pPr>
      <w:r w:rsidRPr="00496A94">
        <w:rPr>
          <w:bCs/>
          <w:i/>
        </w:rPr>
        <w:t xml:space="preserve">Art. 53 – Cedência é o ato através do qual o Prefeito Municipal coloca o Servidor Efetivo à disposição de Entidades ou Órgãos Públicos sem subordinação administrativa com o Município, mediante convênio. </w:t>
      </w:r>
    </w:p>
    <w:p w:rsidR="00496A94" w:rsidRPr="00496A94" w:rsidRDefault="00496A94" w:rsidP="00496A94">
      <w:pPr>
        <w:ind w:left="1134" w:firstLine="708"/>
        <w:jc w:val="both"/>
        <w:rPr>
          <w:bCs/>
          <w:i/>
        </w:rPr>
      </w:pPr>
    </w:p>
    <w:p w:rsidR="00496A94" w:rsidRPr="00496A94" w:rsidRDefault="00496A94" w:rsidP="00496A94">
      <w:pPr>
        <w:ind w:left="1134" w:firstLine="708"/>
        <w:jc w:val="both"/>
        <w:rPr>
          <w:bCs/>
          <w:i/>
        </w:rPr>
      </w:pPr>
      <w:r w:rsidRPr="00496A94">
        <w:rPr>
          <w:bCs/>
          <w:i/>
        </w:rPr>
        <w:t xml:space="preserve">Diante disso, visualiza-se que o Estatuto é claro ao permitir a cedência de servidores municipais somente para entidades ou órgãos públicos sem subordinação administrativa com o Município. </w:t>
      </w:r>
    </w:p>
    <w:p w:rsidR="00496A94" w:rsidRPr="00496A94" w:rsidRDefault="00496A94" w:rsidP="00496A94">
      <w:pPr>
        <w:ind w:left="1134" w:firstLine="708"/>
        <w:jc w:val="both"/>
        <w:rPr>
          <w:bCs/>
          <w:i/>
        </w:rPr>
      </w:pPr>
      <w:r w:rsidRPr="00496A94">
        <w:rPr>
          <w:bCs/>
          <w:i/>
        </w:rPr>
        <w:t>Por entidades, tem-se a subdivisão entre a) entidades políticas – aquelas do art. 41, I a III, do Código Civil; b) entidades públicas – pertencentes a Administração Pública indireta – v.g. as autarquias e fundações públicas (art. 41, IV e V do Código Civil)</w:t>
      </w:r>
    </w:p>
    <w:p w:rsidR="00496A94" w:rsidRPr="00496A94" w:rsidRDefault="00496A94" w:rsidP="00496A94">
      <w:pPr>
        <w:ind w:left="1134" w:firstLine="708"/>
        <w:jc w:val="both"/>
        <w:rPr>
          <w:bCs/>
          <w:i/>
        </w:rPr>
      </w:pPr>
      <w:r w:rsidRPr="00496A94">
        <w:rPr>
          <w:bCs/>
          <w:i/>
        </w:rPr>
        <w:t xml:space="preserve">Por fim, tem-se por órgãos públicos sem obediência hierárquica com o Município aqueles pertencentes a uma das entidades discorridas acima. </w:t>
      </w:r>
    </w:p>
    <w:p w:rsidR="00496A94" w:rsidRPr="00496A94" w:rsidRDefault="00496A94" w:rsidP="00496A94">
      <w:pPr>
        <w:ind w:left="1134" w:firstLine="708"/>
        <w:jc w:val="both"/>
        <w:rPr>
          <w:bCs/>
          <w:i/>
        </w:rPr>
      </w:pPr>
      <w:r w:rsidRPr="00496A94">
        <w:rPr>
          <w:bCs/>
          <w:i/>
        </w:rPr>
        <w:t xml:space="preserve">Ademais, não se percebe a possibilidade de cedência de servidores na Lei Federal nº 13.019, de 2014, que Estabelece o regime jurídico das parcerias voluntárias, envolvendo ou não transferências de recursos financeiros, entre a administração pública e as organizações da sociedade civil, em regime de mútua cooperação para a consecução de finalidades de interesse público, argumento que, se presente, poderia ser utilizado em consideração. </w:t>
      </w:r>
    </w:p>
    <w:p w:rsidR="00496A94" w:rsidRPr="00496A94" w:rsidRDefault="00496A94" w:rsidP="00496A94">
      <w:pPr>
        <w:ind w:left="1134" w:firstLine="708"/>
        <w:jc w:val="both"/>
        <w:rPr>
          <w:bCs/>
          <w:i/>
        </w:rPr>
      </w:pPr>
      <w:r w:rsidRPr="00496A94">
        <w:rPr>
          <w:bCs/>
          <w:i/>
        </w:rPr>
        <w:t xml:space="preserve">Isto posto, não se vislumbra a possibilidade de cedência do servidor médico veterinário para a ONG, sob pena de violação ao princípio da legalidade (art. 37, caput da CF), o que implicará em apontamento e responsabilização do gestor. </w:t>
      </w:r>
    </w:p>
    <w:p w:rsidR="00496A94" w:rsidRPr="00496A94" w:rsidRDefault="00496A94" w:rsidP="00496A94">
      <w:pPr>
        <w:ind w:left="1134" w:firstLine="708"/>
        <w:jc w:val="both"/>
        <w:rPr>
          <w:bCs/>
          <w:i/>
        </w:rPr>
      </w:pPr>
      <w:r w:rsidRPr="00496A94">
        <w:rPr>
          <w:bCs/>
          <w:i/>
        </w:rPr>
        <w:t>Em relação ao aspecto formal, recomenda-se que seja observada a Lei Complementar nº 95 de 1998, bem como as sugestões expressas no Manual de Redação da Presidência da República.</w:t>
      </w:r>
    </w:p>
    <w:p w:rsidR="00496A94" w:rsidRPr="00496A94" w:rsidRDefault="00496A94" w:rsidP="00496A94">
      <w:pPr>
        <w:ind w:left="1134" w:firstLine="708"/>
        <w:jc w:val="both"/>
        <w:rPr>
          <w:bCs/>
          <w:i/>
        </w:rPr>
      </w:pPr>
      <w:r w:rsidRPr="00496A94">
        <w:rPr>
          <w:bCs/>
          <w:i/>
        </w:rPr>
        <w:t xml:space="preserve">Neste sentido, recomenda-se que ao invés de ser alterada a Lei Municipal nº 4.753, de 2013, seja editada nova lei específica, objetivando maior transparência e controle dos recursos destinados a área privada, como também coerentes ao Plano de Trabalho recebido pela entidade. </w:t>
      </w:r>
    </w:p>
    <w:p w:rsidR="004F72F3" w:rsidRDefault="00496A94" w:rsidP="00DD7F22">
      <w:pPr>
        <w:ind w:left="1134" w:firstLine="708"/>
        <w:jc w:val="both"/>
        <w:rPr>
          <w:bCs/>
          <w:i/>
        </w:rPr>
      </w:pPr>
      <w:r w:rsidRPr="00496A94">
        <w:rPr>
          <w:bCs/>
          <w:i/>
        </w:rPr>
        <w:t>Ante o exposto, opina-se pela viabilidade técnica do projeto, atendidos os critérios apresentados na LDO 2015, bem como a adequação do art. 2º, eis que não é possível a cedência de servidor e demais orientações ati</w:t>
      </w:r>
      <w:r>
        <w:rPr>
          <w:bCs/>
          <w:i/>
        </w:rPr>
        <w:t xml:space="preserve">nentes a técnica legislativa.  </w:t>
      </w:r>
    </w:p>
    <w:p w:rsidR="00496A94" w:rsidRDefault="00496A94" w:rsidP="00DD7F22">
      <w:pPr>
        <w:ind w:left="1134" w:firstLine="708"/>
        <w:jc w:val="both"/>
        <w:rPr>
          <w:bCs/>
          <w:i/>
        </w:rPr>
      </w:pPr>
    </w:p>
    <w:p w:rsidR="00880227" w:rsidRDefault="00880227" w:rsidP="008946E6">
      <w:pPr>
        <w:jc w:val="both"/>
        <w:rPr>
          <w:bCs/>
        </w:rPr>
      </w:pPr>
      <w:r>
        <w:rPr>
          <w:bCs/>
        </w:rPr>
        <w:tab/>
      </w:r>
      <w:r w:rsidR="00496A94">
        <w:rPr>
          <w:bCs/>
        </w:rPr>
        <w:t xml:space="preserve">Diante da orientação técnica acima, o Poder Executivo enviou Mensagem Retificativa, solicitando que seja suprimido o art. 2º do Projeto de Lei em análise. </w:t>
      </w:r>
    </w:p>
    <w:p w:rsidR="00B235C2" w:rsidRDefault="00B235C2" w:rsidP="00461440">
      <w:pPr>
        <w:ind w:firstLine="708"/>
        <w:jc w:val="both"/>
        <w:rPr>
          <w:bCs/>
        </w:rPr>
      </w:pPr>
      <w:r w:rsidRPr="005132FF">
        <w:rPr>
          <w:bCs/>
        </w:rPr>
        <w:t xml:space="preserve">Não houve apresentação de emendas por parte dos Vereadores. </w:t>
      </w:r>
    </w:p>
    <w:p w:rsidR="00AD6F69" w:rsidRPr="005132FF" w:rsidRDefault="00AD6F69" w:rsidP="00ED5DD9">
      <w:pPr>
        <w:tabs>
          <w:tab w:val="center" w:pos="4252"/>
        </w:tabs>
        <w:jc w:val="both"/>
        <w:rPr>
          <w:bCs/>
        </w:rPr>
      </w:pPr>
    </w:p>
    <w:p w:rsidR="00447978" w:rsidRDefault="00AD6F69" w:rsidP="005132FF">
      <w:pPr>
        <w:jc w:val="center"/>
        <w:rPr>
          <w:b/>
          <w:bCs/>
        </w:rPr>
      </w:pPr>
      <w:r>
        <w:rPr>
          <w:b/>
          <w:bCs/>
        </w:rPr>
        <w:t>Análise:</w:t>
      </w:r>
    </w:p>
    <w:p w:rsidR="00496A94" w:rsidRPr="00496A94" w:rsidRDefault="00496A94" w:rsidP="00496A94">
      <w:pPr>
        <w:ind w:firstLine="708"/>
        <w:jc w:val="both"/>
      </w:pPr>
      <w:r>
        <w:rPr>
          <w:bCs/>
        </w:rPr>
        <w:t xml:space="preserve">A preposição, consoante a Orientação jurídica está adequada para a tramitação, </w:t>
      </w:r>
      <w:r w:rsidRPr="00E9482B">
        <w:t>tendo em vista que o mesmo não possui víc</w:t>
      </w:r>
      <w:r>
        <w:t xml:space="preserve">ios de ordem formal ou material, especialmente após a exclusão do art. 2º conforme sugerido. </w:t>
      </w:r>
    </w:p>
    <w:p w:rsidR="00FB65E8" w:rsidRDefault="00FB65E8" w:rsidP="00FB65E8">
      <w:pPr>
        <w:ind w:firstLine="708"/>
        <w:jc w:val="both"/>
        <w:rPr>
          <w:bCs/>
        </w:rPr>
      </w:pPr>
    </w:p>
    <w:p w:rsidR="00ED5DD9" w:rsidRDefault="00ED5DD9" w:rsidP="00B235C2">
      <w:pPr>
        <w:rPr>
          <w:b/>
        </w:rPr>
      </w:pPr>
    </w:p>
    <w:p w:rsidR="00447978" w:rsidRDefault="00447978" w:rsidP="008B1AE8">
      <w:pPr>
        <w:jc w:val="center"/>
        <w:rPr>
          <w:b/>
        </w:rPr>
      </w:pPr>
      <w:r>
        <w:rPr>
          <w:b/>
        </w:rPr>
        <w:t>Conclusão do Voto:</w:t>
      </w:r>
    </w:p>
    <w:p w:rsidR="00ED5DD9" w:rsidRDefault="00ED5DD9" w:rsidP="008B1AE8">
      <w:pPr>
        <w:jc w:val="center"/>
        <w:rPr>
          <w:b/>
        </w:rPr>
      </w:pPr>
    </w:p>
    <w:p w:rsidR="00447978" w:rsidRDefault="00AD6F69" w:rsidP="00AD6F69">
      <w:pPr>
        <w:jc w:val="both"/>
      </w:pPr>
      <w:r>
        <w:rPr>
          <w:b/>
        </w:rPr>
        <w:tab/>
      </w:r>
      <w:r w:rsidRPr="007450B1">
        <w:t>Diant</w:t>
      </w:r>
      <w:r w:rsidR="00484795">
        <w:t>e dos fundam</w:t>
      </w:r>
      <w:r w:rsidR="00966B03">
        <w:t>entos expostos, esta</w:t>
      </w:r>
      <w:r w:rsidRPr="007450B1">
        <w:t xml:space="preserve"> Relator</w:t>
      </w:r>
      <w:r w:rsidR="00966B03">
        <w:t>a</w:t>
      </w:r>
      <w:r w:rsidRPr="007450B1">
        <w:t xml:space="preserve"> disponibiliza o presente Voto Favorável à proposição. </w:t>
      </w:r>
    </w:p>
    <w:p w:rsidR="00447978" w:rsidRPr="008B1AE8" w:rsidRDefault="00447978" w:rsidP="00AD6F69">
      <w:pPr>
        <w:jc w:val="both"/>
      </w:pPr>
    </w:p>
    <w:p w:rsidR="00447978" w:rsidRDefault="00AD6F69" w:rsidP="00AD6F69">
      <w:r>
        <w:rPr>
          <w:b/>
        </w:rPr>
        <w:tab/>
      </w:r>
      <w:r w:rsidR="00755094">
        <w:t>Sala das Co</w:t>
      </w:r>
      <w:r w:rsidR="00AB328F">
        <w:t xml:space="preserve">missões, em </w:t>
      </w:r>
      <w:r w:rsidR="003E58A8">
        <w:t>09</w:t>
      </w:r>
      <w:r w:rsidR="00966B03">
        <w:t xml:space="preserve"> </w:t>
      </w:r>
      <w:r w:rsidR="003E58A8">
        <w:t>de abril</w:t>
      </w:r>
      <w:r w:rsidR="00484795">
        <w:t xml:space="preserve"> de 2015</w:t>
      </w:r>
    </w:p>
    <w:p w:rsidR="004D66E9" w:rsidRDefault="004D66E9" w:rsidP="00AD6F69"/>
    <w:p w:rsidR="00AB328F" w:rsidRPr="004A23F3" w:rsidRDefault="00AB328F" w:rsidP="00AB328F">
      <w:pPr>
        <w:ind w:firstLine="708"/>
      </w:pPr>
      <w:r w:rsidRPr="004A23F3">
        <w:t>_______________</w:t>
      </w:r>
      <w:r>
        <w:t>________</w:t>
      </w:r>
      <w:r w:rsidR="003E58A8">
        <w:t>____</w:t>
      </w:r>
    </w:p>
    <w:p w:rsidR="00AB328F" w:rsidRDefault="00AB328F" w:rsidP="00AB328F">
      <w:pPr>
        <w:ind w:firstLine="708"/>
      </w:pPr>
      <w:r>
        <w:t>LÉLIA MÜLLER</w:t>
      </w:r>
      <w:r w:rsidRPr="004A23F3">
        <w:t xml:space="preserve"> – RELATOR</w:t>
      </w:r>
      <w:r>
        <w:t>A</w:t>
      </w:r>
    </w:p>
    <w:p w:rsidR="00AB328F" w:rsidRDefault="00AB328F" w:rsidP="00AB328F"/>
    <w:p w:rsidR="00AB328F" w:rsidRDefault="00AB328F" w:rsidP="00AB328F">
      <w:pPr>
        <w:rPr>
          <w:b/>
        </w:rPr>
      </w:pPr>
      <w:r w:rsidRPr="00387FA5">
        <w:rPr>
          <w:b/>
        </w:rPr>
        <w:t>Pelas Conclusões:</w:t>
      </w:r>
    </w:p>
    <w:p w:rsidR="00AB328F" w:rsidRPr="00387FA5" w:rsidRDefault="00AB328F" w:rsidP="00AB328F">
      <w:pPr>
        <w:rPr>
          <w:b/>
        </w:rPr>
      </w:pPr>
    </w:p>
    <w:p w:rsidR="00AB328F" w:rsidRPr="004A23F3" w:rsidRDefault="00AB328F" w:rsidP="00AB328F">
      <w:pPr>
        <w:ind w:firstLine="708"/>
      </w:pPr>
      <w:r w:rsidRPr="004A23F3">
        <w:t>________________________</w:t>
      </w:r>
      <w:r w:rsidR="003E58A8">
        <w:t>___</w:t>
      </w:r>
    </w:p>
    <w:p w:rsidR="00AB328F" w:rsidRDefault="00AB328F" w:rsidP="00AB328F">
      <w:pPr>
        <w:ind w:firstLine="708"/>
      </w:pPr>
      <w:r>
        <w:t>IDO RHODEN</w:t>
      </w:r>
      <w:r w:rsidRPr="004A23F3">
        <w:t xml:space="preserve"> – PRESIDENTE</w:t>
      </w:r>
    </w:p>
    <w:p w:rsidR="00AB328F" w:rsidRPr="002513A5" w:rsidRDefault="00AB328F" w:rsidP="00AB328F"/>
    <w:p w:rsidR="00AB328F" w:rsidRPr="004A23F3" w:rsidRDefault="00AB328F" w:rsidP="00AB328F">
      <w:pPr>
        <w:ind w:firstLine="708"/>
      </w:pPr>
      <w:r w:rsidRPr="004A23F3">
        <w:t>________________________</w:t>
      </w:r>
      <w:r w:rsidR="003E58A8">
        <w:t>_____________</w:t>
      </w:r>
    </w:p>
    <w:p w:rsidR="00AB328F" w:rsidRDefault="00AB328F" w:rsidP="00AB328F">
      <w:pPr>
        <w:ind w:firstLine="708"/>
      </w:pPr>
      <w:r w:rsidRPr="004A23F3">
        <w:t>LEOMAR KOESTER – VICE-PRESIDENTE</w:t>
      </w:r>
    </w:p>
    <w:p w:rsidR="00AB328F" w:rsidRDefault="00AB328F" w:rsidP="00AD6F69"/>
    <w:p w:rsidR="004D66E9" w:rsidRDefault="004D66E9" w:rsidP="004D66E9">
      <w:pPr>
        <w:ind w:firstLine="708"/>
      </w:pPr>
    </w:p>
    <w:sectPr w:rsidR="004D66E9" w:rsidSect="00447978">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4207B"/>
    <w:rsid w:val="00043E8D"/>
    <w:rsid w:val="00075A97"/>
    <w:rsid w:val="00077222"/>
    <w:rsid w:val="000D64F9"/>
    <w:rsid w:val="0010109D"/>
    <w:rsid w:val="00142955"/>
    <w:rsid w:val="001811F9"/>
    <w:rsid w:val="00183F78"/>
    <w:rsid w:val="001840BB"/>
    <w:rsid w:val="001E4586"/>
    <w:rsid w:val="001E60CF"/>
    <w:rsid w:val="00231D64"/>
    <w:rsid w:val="00237E83"/>
    <w:rsid w:val="0028236F"/>
    <w:rsid w:val="00291D20"/>
    <w:rsid w:val="00305440"/>
    <w:rsid w:val="00326871"/>
    <w:rsid w:val="00350C6E"/>
    <w:rsid w:val="0036240F"/>
    <w:rsid w:val="00371199"/>
    <w:rsid w:val="003924B5"/>
    <w:rsid w:val="003C337D"/>
    <w:rsid w:val="003E45BA"/>
    <w:rsid w:val="003E58A8"/>
    <w:rsid w:val="00447978"/>
    <w:rsid w:val="00454545"/>
    <w:rsid w:val="00461440"/>
    <w:rsid w:val="00462F38"/>
    <w:rsid w:val="00477CF6"/>
    <w:rsid w:val="00484795"/>
    <w:rsid w:val="00484E4F"/>
    <w:rsid w:val="00496A94"/>
    <w:rsid w:val="004A2736"/>
    <w:rsid w:val="004B5DA3"/>
    <w:rsid w:val="004C5155"/>
    <w:rsid w:val="004C6EFE"/>
    <w:rsid w:val="004D66E9"/>
    <w:rsid w:val="004E2CAA"/>
    <w:rsid w:val="004F72F3"/>
    <w:rsid w:val="0050121D"/>
    <w:rsid w:val="00504AD5"/>
    <w:rsid w:val="005132FF"/>
    <w:rsid w:val="00523C39"/>
    <w:rsid w:val="00562361"/>
    <w:rsid w:val="005739B5"/>
    <w:rsid w:val="005B01F0"/>
    <w:rsid w:val="005E284D"/>
    <w:rsid w:val="00640CB7"/>
    <w:rsid w:val="00673624"/>
    <w:rsid w:val="006740E3"/>
    <w:rsid w:val="006B1E42"/>
    <w:rsid w:val="006C07DD"/>
    <w:rsid w:val="006C2757"/>
    <w:rsid w:val="006C7648"/>
    <w:rsid w:val="00711109"/>
    <w:rsid w:val="007343F0"/>
    <w:rsid w:val="00755094"/>
    <w:rsid w:val="007641EA"/>
    <w:rsid w:val="0077087B"/>
    <w:rsid w:val="00787D2E"/>
    <w:rsid w:val="00797B47"/>
    <w:rsid w:val="007B6B4C"/>
    <w:rsid w:val="007E7216"/>
    <w:rsid w:val="00801F20"/>
    <w:rsid w:val="00806C53"/>
    <w:rsid w:val="008117C4"/>
    <w:rsid w:val="00820A8F"/>
    <w:rsid w:val="00871AE9"/>
    <w:rsid w:val="00880227"/>
    <w:rsid w:val="008946E6"/>
    <w:rsid w:val="008B1AE8"/>
    <w:rsid w:val="008F1135"/>
    <w:rsid w:val="008F3E80"/>
    <w:rsid w:val="008F64BA"/>
    <w:rsid w:val="00905885"/>
    <w:rsid w:val="00937518"/>
    <w:rsid w:val="0095314E"/>
    <w:rsid w:val="00957B11"/>
    <w:rsid w:val="00966B03"/>
    <w:rsid w:val="00987B83"/>
    <w:rsid w:val="00A41A99"/>
    <w:rsid w:val="00A55211"/>
    <w:rsid w:val="00A60278"/>
    <w:rsid w:val="00A96919"/>
    <w:rsid w:val="00AB328F"/>
    <w:rsid w:val="00AD6F69"/>
    <w:rsid w:val="00AE1817"/>
    <w:rsid w:val="00AE45FB"/>
    <w:rsid w:val="00AF0262"/>
    <w:rsid w:val="00B04CA9"/>
    <w:rsid w:val="00B235C2"/>
    <w:rsid w:val="00B300EA"/>
    <w:rsid w:val="00B31621"/>
    <w:rsid w:val="00B4220F"/>
    <w:rsid w:val="00B50355"/>
    <w:rsid w:val="00B83867"/>
    <w:rsid w:val="00B85B22"/>
    <w:rsid w:val="00BD123B"/>
    <w:rsid w:val="00BE4F2B"/>
    <w:rsid w:val="00C15D86"/>
    <w:rsid w:val="00C34097"/>
    <w:rsid w:val="00C47479"/>
    <w:rsid w:val="00C55899"/>
    <w:rsid w:val="00C74A3F"/>
    <w:rsid w:val="00CA38B1"/>
    <w:rsid w:val="00CB7E87"/>
    <w:rsid w:val="00CD1B2A"/>
    <w:rsid w:val="00D71FF0"/>
    <w:rsid w:val="00D765CD"/>
    <w:rsid w:val="00D96AC2"/>
    <w:rsid w:val="00DA3A75"/>
    <w:rsid w:val="00DD3694"/>
    <w:rsid w:val="00DD7F22"/>
    <w:rsid w:val="00E44DA2"/>
    <w:rsid w:val="00E52FE9"/>
    <w:rsid w:val="00E709D9"/>
    <w:rsid w:val="00E8157C"/>
    <w:rsid w:val="00E877A6"/>
    <w:rsid w:val="00ED5DD9"/>
    <w:rsid w:val="00EE26F0"/>
    <w:rsid w:val="00EF3B2C"/>
    <w:rsid w:val="00F1446D"/>
    <w:rsid w:val="00F15A30"/>
    <w:rsid w:val="00F32ECD"/>
    <w:rsid w:val="00F667C3"/>
    <w:rsid w:val="00FA676B"/>
    <w:rsid w:val="00FB65E8"/>
    <w:rsid w:val="00FC35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D30A7-60A4-499F-9FDA-7A4F575E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rPr>
      <w:lang w:val="x-none" w:eastAsia="x-none"/>
    </w:r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1812</Words>
  <Characters>9785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cp:revision>
  <cp:lastPrinted>2015-04-13T20:23:00Z</cp:lastPrinted>
  <dcterms:created xsi:type="dcterms:W3CDTF">2015-04-13T20:17:00Z</dcterms:created>
  <dcterms:modified xsi:type="dcterms:W3CDTF">2015-10-01T18:19:00Z</dcterms:modified>
</cp:coreProperties>
</file>