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484" w:rsidRPr="005729C1" w:rsidRDefault="006D2484" w:rsidP="006D2484">
      <w:bookmarkStart w:id="0" w:name="_GoBack"/>
      <w:bookmarkEnd w:id="0"/>
    </w:p>
    <w:p w:rsidR="006D2484" w:rsidRPr="005729C1" w:rsidRDefault="006D2484" w:rsidP="006D2484"/>
    <w:p w:rsidR="006D2484" w:rsidRPr="005729C1" w:rsidRDefault="006D2484" w:rsidP="006D2484">
      <w:r w:rsidRPr="005729C1">
        <w:rPr>
          <w:noProof/>
        </w:rPr>
        <w:drawing>
          <wp:anchor distT="0" distB="0" distL="114300" distR="114300" simplePos="0" relativeHeight="251659264" behindDoc="0" locked="0" layoutInCell="1" allowOverlap="1">
            <wp:simplePos x="0" y="0"/>
            <wp:positionH relativeFrom="column">
              <wp:posOffset>2663190</wp:posOffset>
            </wp:positionH>
            <wp:positionV relativeFrom="paragraph">
              <wp:posOffset>-295275</wp:posOffset>
            </wp:positionV>
            <wp:extent cx="887730" cy="986155"/>
            <wp:effectExtent l="0" t="0" r="7620" b="4445"/>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7730" cy="986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2484" w:rsidRPr="005729C1" w:rsidRDefault="006D2484" w:rsidP="003E3194">
      <w:pPr>
        <w:ind w:left="284"/>
        <w:rPr>
          <w:lang w:val="es-PE"/>
        </w:rPr>
      </w:pPr>
    </w:p>
    <w:p w:rsidR="006D2484" w:rsidRPr="005729C1" w:rsidRDefault="006D2484" w:rsidP="006D2484"/>
    <w:p w:rsidR="006D2484" w:rsidRPr="005729C1" w:rsidRDefault="006D2484" w:rsidP="006D2484"/>
    <w:p w:rsidR="006D2484" w:rsidRPr="005729C1" w:rsidRDefault="006D2484" w:rsidP="006D2484">
      <w:pPr>
        <w:jc w:val="center"/>
        <w:rPr>
          <w:rFonts w:ascii="Bookman Old Style" w:hAnsi="Bookman Old Style"/>
        </w:rPr>
      </w:pPr>
      <w:r w:rsidRPr="005729C1">
        <w:rPr>
          <w:rFonts w:ascii="Bookman Old Style" w:hAnsi="Bookman Old Style"/>
        </w:rPr>
        <w:t>Estado do Rio Grande do Sul</w:t>
      </w:r>
    </w:p>
    <w:p w:rsidR="006D2484" w:rsidRPr="005729C1" w:rsidRDefault="006D2484" w:rsidP="006D2484">
      <w:pPr>
        <w:pStyle w:val="Ttulo1"/>
        <w:jc w:val="center"/>
        <w:rPr>
          <w:rFonts w:ascii="Bookman Old Style" w:hAnsi="Bookman Old Style"/>
          <w:sz w:val="24"/>
          <w:szCs w:val="24"/>
        </w:rPr>
      </w:pPr>
      <w:r w:rsidRPr="005729C1">
        <w:rPr>
          <w:rFonts w:ascii="Bookman Old Style" w:hAnsi="Bookman Old Style"/>
          <w:sz w:val="24"/>
          <w:szCs w:val="24"/>
        </w:rPr>
        <w:t>CÂMARA MUNICIPAL DE VEREADORES DE TRÊS PASSOS</w:t>
      </w:r>
    </w:p>
    <w:p w:rsidR="006D2484" w:rsidRPr="005729C1" w:rsidRDefault="006D2484" w:rsidP="006D2484">
      <w:pPr>
        <w:jc w:val="center"/>
      </w:pPr>
    </w:p>
    <w:p w:rsidR="006D2484" w:rsidRPr="005729C1" w:rsidRDefault="006D2484" w:rsidP="006D2484">
      <w:pPr>
        <w:pStyle w:val="Recuodecorpodetexto"/>
        <w:ind w:left="2700" w:hanging="2880"/>
        <w:jc w:val="both"/>
        <w:rPr>
          <w:b/>
          <w:bCs/>
        </w:rPr>
      </w:pPr>
      <w:r w:rsidRPr="005729C1">
        <w:rPr>
          <w:b/>
          <w:bCs/>
        </w:rPr>
        <w:t>ORIENTAÇÃO TÉCNICA</w:t>
      </w:r>
    </w:p>
    <w:p w:rsidR="006D2484" w:rsidRPr="005729C1" w:rsidRDefault="006D2484" w:rsidP="006D2484">
      <w:pPr>
        <w:pStyle w:val="Recuodecorpodetexto"/>
        <w:ind w:left="2700" w:hanging="2880"/>
        <w:jc w:val="both"/>
        <w:rPr>
          <w:b/>
          <w:bCs/>
        </w:rPr>
      </w:pPr>
    </w:p>
    <w:p w:rsidR="006D2484" w:rsidRDefault="006D2484" w:rsidP="006D2484">
      <w:pPr>
        <w:pStyle w:val="Recuodecorpodetexto"/>
        <w:ind w:left="-142" w:firstLine="850"/>
        <w:jc w:val="both"/>
        <w:rPr>
          <w:bCs/>
        </w:rPr>
      </w:pPr>
      <w:r w:rsidRPr="005729C1">
        <w:rPr>
          <w:bCs/>
        </w:rPr>
        <w:t xml:space="preserve">A Comissão de Orçamento, Finanças e Infra-Estrutura Urbana e rural, </w:t>
      </w:r>
      <w:r w:rsidR="003D24B1">
        <w:rPr>
          <w:bCs/>
        </w:rPr>
        <w:t>solicita</w:t>
      </w:r>
      <w:r w:rsidRPr="005729C1">
        <w:rPr>
          <w:bCs/>
        </w:rPr>
        <w:t xml:space="preserve"> orientação qua</w:t>
      </w:r>
      <w:r w:rsidR="003D24B1">
        <w:rPr>
          <w:bCs/>
        </w:rPr>
        <w:t xml:space="preserve">nto ao Processo de Contas do Município referente ao exercício de 2012. </w:t>
      </w:r>
    </w:p>
    <w:p w:rsidR="00D40D98" w:rsidRDefault="003D24B1" w:rsidP="006D2484">
      <w:pPr>
        <w:pStyle w:val="Recuodecorpodetexto"/>
        <w:ind w:left="-142" w:firstLine="850"/>
        <w:jc w:val="both"/>
        <w:rPr>
          <w:bCs/>
        </w:rPr>
      </w:pPr>
      <w:r>
        <w:rPr>
          <w:bCs/>
        </w:rPr>
        <w:t xml:space="preserve">Inicialmente cumpre destacar que compete a </w:t>
      </w:r>
      <w:r w:rsidRPr="005729C1">
        <w:rPr>
          <w:bCs/>
        </w:rPr>
        <w:t>Comissão de Orçamento, Finanças e Infra-Estrutura Urbana e rural</w:t>
      </w:r>
      <w:r>
        <w:rPr>
          <w:bCs/>
        </w:rPr>
        <w:t xml:space="preserve"> a competência para a análise do Processo de Contas do Município, conforme determina o art. 166 da Constituição Federal, bem como de acordo com o art. 47, II, “a”, 6 do Regimento I</w:t>
      </w:r>
      <w:r w:rsidR="00D40D98">
        <w:rPr>
          <w:bCs/>
        </w:rPr>
        <w:t xml:space="preserve">nterno desta Casa Legislativa. </w:t>
      </w:r>
    </w:p>
    <w:p w:rsidR="00AF0641" w:rsidRDefault="00D40D98" w:rsidP="00AF0641">
      <w:pPr>
        <w:pStyle w:val="Recuodecorpodetexto"/>
        <w:ind w:left="-142" w:firstLine="850"/>
        <w:jc w:val="both"/>
        <w:rPr>
          <w:bCs/>
        </w:rPr>
      </w:pPr>
      <w:r>
        <w:rPr>
          <w:bCs/>
        </w:rPr>
        <w:t>O Relatório Geral de Consolidação de Contas, emitido pelo órgão técnico do Tribunal de Contas, não evidenciou ocorrência de irregularidades quanto ao Relatório de Gestão Fiscal, Data da entrega da documentação atinente à Prestação de Contas e Aplicação de recursos em MDE (educação) e ASPS (saúde), conforme se verifica na fl. 313, Processo nº 005732-0200/12-8. Contudo, constatou-se uma inconformidade envolvendo a não entrega de cópia das Atas de Encerramento dos Inventários de bens patrimoniais.</w:t>
      </w:r>
      <w:r w:rsidR="008142A6">
        <w:rPr>
          <w:bCs/>
        </w:rPr>
        <w:t xml:space="preserve"> Diante disso, a Corte emitiu a seguinte conclusão: </w:t>
      </w:r>
    </w:p>
    <w:p w:rsidR="00DB2487" w:rsidRPr="00DB2487" w:rsidRDefault="00DB2487" w:rsidP="00DB2487">
      <w:pPr>
        <w:pStyle w:val="Recuodecorpodetexto"/>
        <w:ind w:left="1134" w:firstLine="0"/>
        <w:jc w:val="both"/>
        <w:rPr>
          <w:bCs/>
          <w:i/>
        </w:rPr>
      </w:pPr>
      <w:r w:rsidRPr="00DB2487">
        <w:rPr>
          <w:bCs/>
          <w:i/>
        </w:rPr>
        <w:t xml:space="preserve">Diante do exposto, </w:t>
      </w:r>
      <w:r w:rsidRPr="00DB2487">
        <w:rPr>
          <w:b/>
          <w:bCs/>
          <w:i/>
        </w:rPr>
        <w:t>vota-se</w:t>
      </w:r>
      <w:r w:rsidRPr="00DB2487">
        <w:rPr>
          <w:bCs/>
          <w:i/>
        </w:rPr>
        <w:t xml:space="preserve">: </w:t>
      </w:r>
    </w:p>
    <w:p w:rsidR="00DB2487" w:rsidRPr="00DB2487" w:rsidRDefault="00F95835" w:rsidP="00DB2487">
      <w:pPr>
        <w:pStyle w:val="Recuodecorpodetexto"/>
        <w:numPr>
          <w:ilvl w:val="0"/>
          <w:numId w:val="2"/>
        </w:numPr>
        <w:ind w:left="1134" w:firstLine="0"/>
        <w:jc w:val="both"/>
        <w:rPr>
          <w:bCs/>
          <w:i/>
        </w:rPr>
      </w:pPr>
      <w:r w:rsidRPr="00DB2487">
        <w:rPr>
          <w:bCs/>
          <w:i/>
        </w:rPr>
        <w:t>Pelo</w:t>
      </w:r>
      <w:r w:rsidR="00DB2487" w:rsidRPr="00DB2487">
        <w:rPr>
          <w:bCs/>
          <w:i/>
        </w:rPr>
        <w:t xml:space="preserve"> </w:t>
      </w:r>
      <w:r w:rsidR="00DB2487" w:rsidRPr="00DB2487">
        <w:rPr>
          <w:b/>
          <w:bCs/>
          <w:i/>
        </w:rPr>
        <w:t>atendimento da Lei de Responsabilidade Fiscal</w:t>
      </w:r>
      <w:r w:rsidR="00DB2487" w:rsidRPr="00DB2487">
        <w:rPr>
          <w:bCs/>
          <w:i/>
        </w:rPr>
        <w:t xml:space="preserve">, exercício de 2012; </w:t>
      </w:r>
    </w:p>
    <w:p w:rsidR="00D40D98" w:rsidRPr="00DB2487" w:rsidRDefault="00F95835" w:rsidP="00DB2487">
      <w:pPr>
        <w:pStyle w:val="Recuodecorpodetexto"/>
        <w:numPr>
          <w:ilvl w:val="0"/>
          <w:numId w:val="2"/>
        </w:numPr>
        <w:ind w:left="1134" w:firstLine="0"/>
        <w:jc w:val="both"/>
        <w:rPr>
          <w:bCs/>
          <w:i/>
        </w:rPr>
      </w:pPr>
      <w:r w:rsidRPr="00DB2487">
        <w:rPr>
          <w:bCs/>
          <w:i/>
        </w:rPr>
        <w:t>Pela</w:t>
      </w:r>
      <w:r w:rsidR="00DB2487" w:rsidRPr="00DB2487">
        <w:rPr>
          <w:bCs/>
          <w:i/>
        </w:rPr>
        <w:t xml:space="preserve"> </w:t>
      </w:r>
      <w:r w:rsidR="00DB2487" w:rsidRPr="00DB2487">
        <w:rPr>
          <w:b/>
          <w:bCs/>
          <w:i/>
        </w:rPr>
        <w:t>cientificação à Origem</w:t>
      </w:r>
      <w:r w:rsidR="00DB2487" w:rsidRPr="00DB2487">
        <w:rPr>
          <w:bCs/>
          <w:i/>
        </w:rPr>
        <w:t xml:space="preserve"> para que promova o saneamento da falha apontada, a qual deverá ser, necessariamente, objeto de verificação em futura auditoria;</w:t>
      </w:r>
    </w:p>
    <w:p w:rsidR="00DB2487" w:rsidRPr="00DB2487" w:rsidRDefault="00F95835" w:rsidP="00DB2487">
      <w:pPr>
        <w:pStyle w:val="Recuodecorpodetexto"/>
        <w:numPr>
          <w:ilvl w:val="0"/>
          <w:numId w:val="2"/>
        </w:numPr>
        <w:ind w:left="1134" w:firstLine="0"/>
        <w:jc w:val="both"/>
        <w:rPr>
          <w:bCs/>
          <w:i/>
        </w:rPr>
      </w:pPr>
      <w:r w:rsidRPr="00DB2487">
        <w:rPr>
          <w:bCs/>
          <w:i/>
        </w:rPr>
        <w:t>Pela</w:t>
      </w:r>
      <w:r w:rsidR="00DB2487" w:rsidRPr="00DB2487">
        <w:rPr>
          <w:bCs/>
          <w:i/>
        </w:rPr>
        <w:t xml:space="preserve"> emissão de </w:t>
      </w:r>
      <w:r w:rsidR="00DB2487" w:rsidRPr="00DB2487">
        <w:rPr>
          <w:b/>
          <w:bCs/>
          <w:i/>
        </w:rPr>
        <w:t>Parecer Favorável</w:t>
      </w:r>
      <w:r w:rsidR="00DB2487" w:rsidRPr="00DB2487">
        <w:rPr>
          <w:bCs/>
          <w:i/>
        </w:rPr>
        <w:t xml:space="preserve"> à aprovação das Contas de Governo de </w:t>
      </w:r>
      <w:r w:rsidR="00DB2487" w:rsidRPr="00DB2487">
        <w:rPr>
          <w:b/>
          <w:bCs/>
          <w:i/>
        </w:rPr>
        <w:t>Cleri Camilotti</w:t>
      </w:r>
      <w:r w:rsidR="00DB2487" w:rsidRPr="00DB2487">
        <w:rPr>
          <w:bCs/>
          <w:i/>
        </w:rPr>
        <w:t xml:space="preserve"> e </w:t>
      </w:r>
      <w:r w:rsidR="00DB2487">
        <w:rPr>
          <w:b/>
          <w:bCs/>
          <w:i/>
        </w:rPr>
        <w:t>Vateri Francisco Ne</w:t>
      </w:r>
      <w:r w:rsidR="00DB2487" w:rsidRPr="00DB2487">
        <w:rPr>
          <w:b/>
          <w:bCs/>
          <w:i/>
        </w:rPr>
        <w:t>ckel</w:t>
      </w:r>
      <w:r w:rsidR="00DB2487" w:rsidRPr="00DB2487">
        <w:rPr>
          <w:bCs/>
          <w:i/>
        </w:rPr>
        <w:t xml:space="preserve">, Administradores do </w:t>
      </w:r>
      <w:r w:rsidR="00DB2487" w:rsidRPr="005F045A">
        <w:rPr>
          <w:b/>
          <w:bCs/>
          <w:i/>
        </w:rPr>
        <w:t>Executivo Municipal de Três Passos, no exercício 2012</w:t>
      </w:r>
      <w:r w:rsidR="00DB2487" w:rsidRPr="00DB2487">
        <w:rPr>
          <w:bCs/>
          <w:i/>
        </w:rPr>
        <w:t>, nos termos do art. 5º, da Resolução nº 414/92; e</w:t>
      </w:r>
    </w:p>
    <w:p w:rsidR="00DB2487" w:rsidRPr="00DB2487" w:rsidRDefault="00F95835" w:rsidP="00DB2487">
      <w:pPr>
        <w:pStyle w:val="Recuodecorpodetexto"/>
        <w:numPr>
          <w:ilvl w:val="0"/>
          <w:numId w:val="2"/>
        </w:numPr>
        <w:ind w:left="1134" w:firstLine="0"/>
        <w:jc w:val="both"/>
        <w:rPr>
          <w:bCs/>
          <w:i/>
        </w:rPr>
      </w:pPr>
      <w:r w:rsidRPr="00DB2487">
        <w:rPr>
          <w:bCs/>
          <w:i/>
        </w:rPr>
        <w:t>Após</w:t>
      </w:r>
      <w:r w:rsidR="00DB2487" w:rsidRPr="00DB2487">
        <w:rPr>
          <w:bCs/>
          <w:i/>
        </w:rPr>
        <w:t xml:space="preserve"> o trânsito em julgado, seja o processo encaminhado ao </w:t>
      </w:r>
      <w:r w:rsidR="00DB2487" w:rsidRPr="005F045A">
        <w:rPr>
          <w:b/>
          <w:bCs/>
          <w:i/>
        </w:rPr>
        <w:t>Legislativo Municipal de Três Passos</w:t>
      </w:r>
      <w:r w:rsidR="00DB2487" w:rsidRPr="00DB2487">
        <w:rPr>
          <w:bCs/>
          <w:i/>
        </w:rPr>
        <w:t xml:space="preserve">, para os fins legais. </w:t>
      </w:r>
    </w:p>
    <w:p w:rsidR="006D2484" w:rsidRPr="005729C1" w:rsidRDefault="006D2484" w:rsidP="006D2484">
      <w:pPr>
        <w:pStyle w:val="Recuodecorpodetexto"/>
        <w:ind w:left="3060" w:hanging="3240"/>
        <w:jc w:val="both"/>
        <w:rPr>
          <w:b/>
          <w:bCs/>
        </w:rPr>
      </w:pPr>
    </w:p>
    <w:p w:rsidR="00F850BB" w:rsidRDefault="00781723" w:rsidP="006D2484">
      <w:pPr>
        <w:jc w:val="both"/>
        <w:rPr>
          <w:bCs/>
        </w:rPr>
      </w:pPr>
      <w:r>
        <w:rPr>
          <w:bCs/>
        </w:rPr>
        <w:tab/>
      </w:r>
      <w:r w:rsidR="008142A6">
        <w:rPr>
          <w:bCs/>
        </w:rPr>
        <w:t>I</w:t>
      </w:r>
      <w:r w:rsidR="00F850BB">
        <w:rPr>
          <w:bCs/>
        </w:rPr>
        <w:t xml:space="preserve">mportante referir que o julgamento das contas do prefeito, pela Câmara Municipal, com auxílio do Tribunal de Contas, é uma questão de extrema relevância, em virtude das consequências que podem advir desse julgamento, dependendo da decisão </w:t>
      </w:r>
      <w:r w:rsidR="00E120D0">
        <w:rPr>
          <w:bCs/>
        </w:rPr>
        <w:t xml:space="preserve">exarada. </w:t>
      </w:r>
    </w:p>
    <w:p w:rsidR="00E120D0" w:rsidRDefault="00E120D0" w:rsidP="006D2484">
      <w:pPr>
        <w:jc w:val="both"/>
        <w:rPr>
          <w:bCs/>
        </w:rPr>
      </w:pPr>
      <w:r>
        <w:rPr>
          <w:bCs/>
        </w:rPr>
        <w:tab/>
        <w:t xml:space="preserve">Ao analisar as contas dos prefeitos municipais, o Tribunal de Contas emite parecer prévio pela aprovação ou desaprovação, posicionamento este que pode ser mantido ou revertido por esta Casa Legislativa, que é quem, efetivamente julga as contas de governo. </w:t>
      </w:r>
    </w:p>
    <w:p w:rsidR="00E120D0" w:rsidRDefault="00E120D0" w:rsidP="006D2484">
      <w:pPr>
        <w:jc w:val="both"/>
        <w:rPr>
          <w:bCs/>
        </w:rPr>
      </w:pPr>
      <w:r>
        <w:rPr>
          <w:bCs/>
        </w:rPr>
        <w:tab/>
        <w:t xml:space="preserve">Confirmada a rejeição de contas, o prefeito (ou ex-prefeito) torna-se inelegível pelo prazo de oito anos. </w:t>
      </w:r>
    </w:p>
    <w:p w:rsidR="00E120D0" w:rsidRDefault="00E120D0" w:rsidP="006D2484">
      <w:pPr>
        <w:jc w:val="both"/>
        <w:rPr>
          <w:bCs/>
        </w:rPr>
      </w:pPr>
      <w:r>
        <w:rPr>
          <w:bCs/>
        </w:rPr>
        <w:tab/>
        <w:t>O art. 31, § 1º da Constituição Federal estabelece que a fiscalização do Município será exercida pelo Poder Legislativo Municipal, mediante controle externo, e pelos sistemas de controle int</w:t>
      </w:r>
      <w:r w:rsidR="00CB6F1F">
        <w:rPr>
          <w:bCs/>
        </w:rPr>
        <w:t xml:space="preserve">erno do Poder Executivo Municipal, já o § 2º, determina que o parecer prévio só deixará de prevalecer por dois terços dos membros da Câmara Municipal. </w:t>
      </w:r>
    </w:p>
    <w:p w:rsidR="00CB6F1F" w:rsidRDefault="00CB6F1F" w:rsidP="006D2484">
      <w:pPr>
        <w:jc w:val="both"/>
        <w:rPr>
          <w:bCs/>
        </w:rPr>
      </w:pPr>
      <w:r>
        <w:rPr>
          <w:bCs/>
        </w:rPr>
        <w:tab/>
        <w:t>Recebida as contas prestadas pelo Prefeito, acompanhadas do Parecer Prévio em análise, este foi publicado no mural desta Casa legislativa, bem como foi divulgado no site da Câmara</w:t>
      </w:r>
      <w:r w:rsidR="003E1310">
        <w:rPr>
          <w:bCs/>
        </w:rPr>
        <w:t xml:space="preserve"> e na sequencia</w:t>
      </w:r>
      <w:r w:rsidR="009E7323">
        <w:rPr>
          <w:bCs/>
        </w:rPr>
        <w:t xml:space="preserve"> encaminhado para à Comissão de Orçamento, Finanças Infra-Estrutura Urbana e Rural em que permanecerá por sessenta dias, à disposição de qualquer contribuinte</w:t>
      </w:r>
      <w:r w:rsidR="003E1310">
        <w:rPr>
          <w:bCs/>
        </w:rPr>
        <w:t xml:space="preserve"> a fim de questionar a respectiva legitimidade</w:t>
      </w:r>
      <w:r w:rsidR="009E7323">
        <w:rPr>
          <w:bCs/>
        </w:rPr>
        <w:t xml:space="preserve">. Portanto, forma adotadas todas as medidas conforme determina o art. 172 do Regimento Interno desta Casa Legislativa. </w:t>
      </w:r>
    </w:p>
    <w:p w:rsidR="00CB6F1F" w:rsidRDefault="009E7323" w:rsidP="006D2484">
      <w:pPr>
        <w:jc w:val="both"/>
        <w:rPr>
          <w:bCs/>
        </w:rPr>
      </w:pPr>
      <w:r>
        <w:rPr>
          <w:bCs/>
        </w:rPr>
        <w:tab/>
        <w:t xml:space="preserve">Em </w:t>
      </w:r>
      <w:r w:rsidR="00F95835">
        <w:rPr>
          <w:bCs/>
        </w:rPr>
        <w:t>seguida</w:t>
      </w:r>
      <w:r>
        <w:rPr>
          <w:bCs/>
        </w:rPr>
        <w:t xml:space="preserve"> a </w:t>
      </w:r>
      <w:r w:rsidRPr="009E7323">
        <w:rPr>
          <w:bCs/>
        </w:rPr>
        <w:t>Comissão de Orçamento, Finanças Infra-Es</w:t>
      </w:r>
      <w:r w:rsidR="003E1310">
        <w:rPr>
          <w:bCs/>
        </w:rPr>
        <w:t>trutura Urbana e Rural</w:t>
      </w:r>
      <w:r>
        <w:rPr>
          <w:bCs/>
        </w:rPr>
        <w:t>, notificou o Senhor Cleri Camilotti</w:t>
      </w:r>
      <w:r w:rsidRPr="009E7323">
        <w:rPr>
          <w:bCs/>
        </w:rPr>
        <w:t xml:space="preserve"> do recebimento do parecer prévio na Câmara Municipal para, querendo, </w:t>
      </w:r>
      <w:r w:rsidRPr="009E7323">
        <w:rPr>
          <w:bCs/>
        </w:rPr>
        <w:lastRenderedPageBreak/>
        <w:t>no prazo de quinze dias apresentar defesa às conclusões contidas no referido parecer, apresentando as provas que julgar necessária</w:t>
      </w:r>
      <w:r w:rsidR="003E1310">
        <w:rPr>
          <w:bCs/>
        </w:rPr>
        <w:t xml:space="preserve">, atendendo ao disposto no art. 173 do Regimento Interno. </w:t>
      </w:r>
    </w:p>
    <w:p w:rsidR="003E1310" w:rsidRDefault="003E1310" w:rsidP="006D2484">
      <w:pPr>
        <w:jc w:val="both"/>
        <w:rPr>
          <w:bCs/>
        </w:rPr>
      </w:pPr>
      <w:r>
        <w:rPr>
          <w:bCs/>
        </w:rPr>
        <w:tab/>
        <w:t xml:space="preserve">O Sr. Cleri Camilotti, respondeu a notificação afirmando que não possui interesse em apresentar provas uma vez que o parecer prévio do Tribunal de Contas foi favorável. </w:t>
      </w:r>
    </w:p>
    <w:p w:rsidR="00F850BB" w:rsidRDefault="003E1310" w:rsidP="006D2484">
      <w:pPr>
        <w:jc w:val="both"/>
        <w:rPr>
          <w:bCs/>
        </w:rPr>
      </w:pPr>
      <w:r>
        <w:rPr>
          <w:bCs/>
        </w:rPr>
        <w:tab/>
        <w:t xml:space="preserve">Ainda importante referido que o parecer foi lido na sessão ordinária do dia 10/12/2014 com a consequente realização da discussão prévia. </w:t>
      </w:r>
    </w:p>
    <w:p w:rsidR="003E1310" w:rsidRDefault="003E1310" w:rsidP="006D2484">
      <w:pPr>
        <w:jc w:val="both"/>
        <w:rPr>
          <w:bCs/>
        </w:rPr>
      </w:pPr>
      <w:r>
        <w:rPr>
          <w:bCs/>
        </w:rPr>
        <w:tab/>
        <w:t xml:space="preserve">Diante disso, verifica-se que todos os procedimentos legais foram adotados conforme determina o Regimento Interno desta Casa Legislativa, Constituição Estadual e Federal. </w:t>
      </w:r>
    </w:p>
    <w:p w:rsidR="003E1310" w:rsidRDefault="003E1310" w:rsidP="006D2484">
      <w:pPr>
        <w:jc w:val="both"/>
        <w:rPr>
          <w:bCs/>
        </w:rPr>
      </w:pPr>
      <w:r>
        <w:rPr>
          <w:bCs/>
        </w:rPr>
        <w:tab/>
        <w:t xml:space="preserve">Esgotado o prazo para defesa e o prazo para questionamento popular, o Vereador-Relator deverá emitir seu voto, indicando se é favorável ao parecer prévio do Tribunal de Contas </w:t>
      </w:r>
      <w:r w:rsidR="000E72E9">
        <w:rPr>
          <w:bCs/>
        </w:rPr>
        <w:t>ou se é contrário, com a respectiva fundamentação.</w:t>
      </w:r>
    </w:p>
    <w:p w:rsidR="000E72E9" w:rsidRDefault="000E72E9" w:rsidP="006D2484">
      <w:pPr>
        <w:jc w:val="both"/>
        <w:rPr>
          <w:bCs/>
        </w:rPr>
      </w:pPr>
      <w:r>
        <w:rPr>
          <w:bCs/>
        </w:rPr>
        <w:tab/>
        <w:t xml:space="preserve">Apresentado o voto do Vereador – Relator, seu conteúdo é deliberado na Comissão de Orçamento e Finanças, com a respectiva minuta de decreto legislativo e divulgado pelo prazo mínimo de 24 horas. </w:t>
      </w:r>
    </w:p>
    <w:p w:rsidR="000E72E9" w:rsidRDefault="000E72E9" w:rsidP="006D2484">
      <w:pPr>
        <w:jc w:val="both"/>
        <w:rPr>
          <w:bCs/>
        </w:rPr>
      </w:pPr>
      <w:r>
        <w:rPr>
          <w:bCs/>
        </w:rPr>
        <w:tab/>
        <w:t xml:space="preserve">Também deve o Presidente da Câmara determinar a publicidade e divulgação da data da sessão plenária em que o parecer prévio do Tribunal de Contas do Estado será deliberado. </w:t>
      </w:r>
    </w:p>
    <w:p w:rsidR="000E72E9" w:rsidRDefault="000E72E9" w:rsidP="006D2484">
      <w:pPr>
        <w:jc w:val="both"/>
        <w:rPr>
          <w:bCs/>
        </w:rPr>
      </w:pPr>
      <w:r>
        <w:rPr>
          <w:bCs/>
        </w:rPr>
        <w:tab/>
        <w:t xml:space="preserve">O Sr. Cleri Camilotti também deverá ser notificado para apresentação de defesa oral se assim desejar de acordo com o que determina 175 do Regimento Interno. </w:t>
      </w:r>
    </w:p>
    <w:p w:rsidR="000E72E9" w:rsidRDefault="000E72E9" w:rsidP="006D2484">
      <w:pPr>
        <w:jc w:val="both"/>
        <w:rPr>
          <w:bCs/>
        </w:rPr>
      </w:pPr>
      <w:r>
        <w:rPr>
          <w:bCs/>
        </w:rPr>
        <w:tab/>
        <w:t>A discussão e votação do parecer prévio do Tribunal de Contas, só dei</w:t>
      </w:r>
      <w:r w:rsidR="00F17049">
        <w:rPr>
          <w:bCs/>
        </w:rPr>
        <w:t xml:space="preserve">xará de prevalecer por dois terços dos votos dos vereadores. </w:t>
      </w:r>
    </w:p>
    <w:p w:rsidR="00F17049" w:rsidRDefault="00F17049" w:rsidP="006D2484">
      <w:pPr>
        <w:jc w:val="both"/>
        <w:rPr>
          <w:bCs/>
        </w:rPr>
      </w:pPr>
      <w:r>
        <w:rPr>
          <w:bCs/>
        </w:rPr>
        <w:tab/>
        <w:t xml:space="preserve">Deliberado em plenário o parecer prévio do Tribunal de Contas do Estado e elaborada a redação final do projeto de decreto legislativo, caberá ao Presidente da Câmara fazer a respectiva promulgação e publicação. </w:t>
      </w:r>
    </w:p>
    <w:p w:rsidR="00F17049" w:rsidRDefault="00F17049" w:rsidP="006D2484">
      <w:pPr>
        <w:jc w:val="both"/>
        <w:rPr>
          <w:bCs/>
        </w:rPr>
      </w:pPr>
      <w:r>
        <w:rPr>
          <w:bCs/>
        </w:rPr>
        <w:tab/>
        <w:t xml:space="preserve">Promulgado e publicado o decreto legislativo, com o consequente resultado, aprovando ou rejeitando as contas de governo do prefeito ou ex-prefeito, referentes à gestão de um determinado ano, caberá ao Presidente da Câmara informar o resultado e disponibilizar cópia do decreto legislativo ao Tribunal de Contas do Estado, para a finalização do respectivo processo, naquela Corte, e realização dos respectivos encaminhamentos, como é o caso, por exemplo, do envio da lista de gestores públicos com contas rejeitadas à Justiça Eleitoral, para fins de inegibilidade, nos termos da Lei Complementar nº 135, de 2010. </w:t>
      </w:r>
    </w:p>
    <w:p w:rsidR="006D2484" w:rsidRPr="005729C1" w:rsidRDefault="006D2484" w:rsidP="006D2484">
      <w:pPr>
        <w:jc w:val="both"/>
      </w:pPr>
    </w:p>
    <w:p w:rsidR="006D2484" w:rsidRPr="005729C1" w:rsidRDefault="00781723" w:rsidP="006D2484">
      <w:pPr>
        <w:ind w:firstLine="708"/>
      </w:pPr>
      <w:r>
        <w:t>Três Passos, 1</w:t>
      </w:r>
      <w:r w:rsidR="00F17049">
        <w:t>9</w:t>
      </w:r>
      <w:r w:rsidR="006D2484" w:rsidRPr="005729C1">
        <w:t xml:space="preserve"> de março de 2015</w:t>
      </w:r>
    </w:p>
    <w:p w:rsidR="006D2484" w:rsidRPr="005729C1" w:rsidRDefault="006D2484" w:rsidP="006D2484">
      <w:pPr>
        <w:ind w:firstLine="708"/>
      </w:pPr>
    </w:p>
    <w:p w:rsidR="006D2484" w:rsidRPr="005729C1" w:rsidRDefault="006D2484" w:rsidP="006D2484">
      <w:r w:rsidRPr="005729C1">
        <w:t>__________________________</w:t>
      </w:r>
      <w:r>
        <w:t>_____</w:t>
      </w:r>
    </w:p>
    <w:p w:rsidR="006D2484" w:rsidRPr="005729C1" w:rsidRDefault="006D2484" w:rsidP="006D2484">
      <w:r w:rsidRPr="005729C1">
        <w:t>CRISTINA KÄFER OAB/RS 86.351</w:t>
      </w:r>
    </w:p>
    <w:p w:rsidR="006D2484" w:rsidRPr="005729C1" w:rsidRDefault="006D2484" w:rsidP="006D2484">
      <w:r w:rsidRPr="005729C1">
        <w:t xml:space="preserve">      PROCURADORA JURÍDICA</w:t>
      </w:r>
    </w:p>
    <w:p w:rsidR="00EA10D6" w:rsidRDefault="00EA10D6"/>
    <w:sectPr w:rsidR="00EA10D6" w:rsidSect="003E3194">
      <w:pgSz w:w="11906" w:h="16838" w:code="9"/>
      <w:pgMar w:top="1134" w:right="1133" w:bottom="624" w:left="1276" w:header="624"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A0747"/>
    <w:multiLevelType w:val="hybridMultilevel"/>
    <w:tmpl w:val="23AE32B2"/>
    <w:lvl w:ilvl="0" w:tplc="0CEC187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1CC91075"/>
    <w:multiLevelType w:val="hybridMultilevel"/>
    <w:tmpl w:val="1CC28B5C"/>
    <w:lvl w:ilvl="0" w:tplc="9756466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84"/>
    <w:rsid w:val="000E72E9"/>
    <w:rsid w:val="0020397D"/>
    <w:rsid w:val="002B264A"/>
    <w:rsid w:val="00396579"/>
    <w:rsid w:val="003C608C"/>
    <w:rsid w:val="003D24B1"/>
    <w:rsid w:val="003E1310"/>
    <w:rsid w:val="003E3194"/>
    <w:rsid w:val="003F13FE"/>
    <w:rsid w:val="005F045A"/>
    <w:rsid w:val="006D2484"/>
    <w:rsid w:val="00781723"/>
    <w:rsid w:val="008142A6"/>
    <w:rsid w:val="00890B1B"/>
    <w:rsid w:val="00985154"/>
    <w:rsid w:val="009E7323"/>
    <w:rsid w:val="00AD5D2E"/>
    <w:rsid w:val="00AF0641"/>
    <w:rsid w:val="00CB6F1F"/>
    <w:rsid w:val="00CD7088"/>
    <w:rsid w:val="00D24FFA"/>
    <w:rsid w:val="00D40D98"/>
    <w:rsid w:val="00DB2487"/>
    <w:rsid w:val="00E120D0"/>
    <w:rsid w:val="00EA10D6"/>
    <w:rsid w:val="00EE0BF5"/>
    <w:rsid w:val="00F17049"/>
    <w:rsid w:val="00F32197"/>
    <w:rsid w:val="00F850BB"/>
    <w:rsid w:val="00F958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1D321-1CD6-4653-926D-197464D8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48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D2484"/>
    <w:pPr>
      <w:keepNext/>
      <w:spacing w:before="240" w:after="60"/>
      <w:outlineLvl w:val="0"/>
    </w:pPr>
    <w:rPr>
      <w:rFonts w:ascii="Arial" w:hAnsi="Arial" w:cs="Arial"/>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D2484"/>
    <w:rPr>
      <w:rFonts w:ascii="Arial" w:eastAsia="Times New Roman" w:hAnsi="Arial" w:cs="Arial"/>
      <w:b/>
      <w:bCs/>
      <w:kern w:val="32"/>
      <w:sz w:val="32"/>
      <w:szCs w:val="32"/>
      <w:lang w:eastAsia="pt-BR"/>
    </w:rPr>
  </w:style>
  <w:style w:type="paragraph" w:styleId="Recuodecorpodetexto">
    <w:name w:val="Body Text Indent"/>
    <w:basedOn w:val="Normal"/>
    <w:link w:val="RecuodecorpodetextoChar"/>
    <w:rsid w:val="006D2484"/>
    <w:pPr>
      <w:ind w:left="5580" w:hanging="5580"/>
    </w:pPr>
  </w:style>
  <w:style w:type="character" w:customStyle="1" w:styleId="RecuodecorpodetextoChar">
    <w:name w:val="Recuo de corpo de texto Char"/>
    <w:basedOn w:val="Fontepargpadro"/>
    <w:link w:val="Recuodecorpodetexto"/>
    <w:rsid w:val="006D2484"/>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E3194"/>
    <w:rPr>
      <w:rFonts w:ascii="Segoe UI" w:hAnsi="Segoe UI" w:cs="Segoe UI"/>
      <w:sz w:val="18"/>
      <w:szCs w:val="18"/>
    </w:rPr>
  </w:style>
  <w:style w:type="character" w:customStyle="1" w:styleId="TextodebaloChar">
    <w:name w:val="Texto de balão Char"/>
    <w:basedOn w:val="Fontepargpadro"/>
    <w:link w:val="Textodebalo"/>
    <w:uiPriority w:val="99"/>
    <w:semiHidden/>
    <w:rsid w:val="003E3194"/>
    <w:rPr>
      <w:rFonts w:ascii="Segoe UI" w:eastAsia="Times New Roman" w:hAnsi="Segoe UI" w:cs="Segoe UI"/>
      <w:sz w:val="18"/>
      <w:szCs w:val="18"/>
      <w:lang w:eastAsia="pt-BR"/>
    </w:rPr>
  </w:style>
  <w:style w:type="paragraph" w:styleId="Corpodetexto">
    <w:name w:val="Body Text"/>
    <w:basedOn w:val="Normal"/>
    <w:link w:val="CorpodetextoChar"/>
    <w:uiPriority w:val="99"/>
    <w:semiHidden/>
    <w:unhideWhenUsed/>
    <w:rsid w:val="00CB6F1F"/>
    <w:pPr>
      <w:spacing w:after="120"/>
    </w:pPr>
  </w:style>
  <w:style w:type="character" w:customStyle="1" w:styleId="CorpodetextoChar">
    <w:name w:val="Corpo de texto Char"/>
    <w:basedOn w:val="Fontepargpadro"/>
    <w:link w:val="Corpodetexto"/>
    <w:uiPriority w:val="99"/>
    <w:semiHidden/>
    <w:rsid w:val="00CB6F1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925</Words>
  <Characters>5000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7</cp:revision>
  <cp:lastPrinted>2015-03-19T19:30:00Z</cp:lastPrinted>
  <dcterms:created xsi:type="dcterms:W3CDTF">2015-03-16T19:41:00Z</dcterms:created>
  <dcterms:modified xsi:type="dcterms:W3CDTF">2015-10-01T18:29:00Z</dcterms:modified>
</cp:coreProperties>
</file>