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1E0F4B">
        <w:t xml:space="preserve"> nº 120</w:t>
      </w:r>
      <w:r w:rsidR="0084403C">
        <w:t>/</w:t>
      </w:r>
      <w:r w:rsidR="000D64F9">
        <w:t>2015</w:t>
      </w:r>
      <w:r w:rsidR="00F1446D">
        <w:tab/>
      </w:r>
      <w:r w:rsidR="00F1446D">
        <w:tab/>
      </w:r>
      <w:r w:rsidR="00F1446D">
        <w:tab/>
      </w:r>
      <w:r w:rsidR="00F1446D">
        <w:tab/>
      </w:r>
      <w:r w:rsidRPr="007450B1">
        <w:rPr>
          <w:b/>
        </w:rPr>
        <w:t>Data:</w:t>
      </w:r>
      <w:r w:rsidR="003924B5">
        <w:t xml:space="preserve"> </w:t>
      </w:r>
      <w:r w:rsidR="001E0F4B">
        <w:t>14</w:t>
      </w:r>
      <w:r w:rsidR="005E5C63">
        <w:t xml:space="preserve"> de setembro</w:t>
      </w:r>
      <w:r w:rsidR="00770495">
        <w:t xml:space="preserve"> </w:t>
      </w:r>
      <w:r w:rsidR="000D64F9">
        <w:t>de 2015</w:t>
      </w:r>
    </w:p>
    <w:p w:rsidR="00AD6F69" w:rsidRDefault="00004A55" w:rsidP="00F1446D">
      <w:pPr>
        <w:pStyle w:val="Recuodecorpodetexto"/>
        <w:ind w:left="3238" w:hanging="3238"/>
      </w:pPr>
      <w:r>
        <w:rPr>
          <w:b/>
        </w:rPr>
        <w:t xml:space="preserve">Matéria: </w:t>
      </w:r>
      <w:r w:rsidR="001E0F4B">
        <w:t>Veto Parcial</w:t>
      </w:r>
      <w:r w:rsidR="00F1446D" w:rsidRPr="00004A55">
        <w:tab/>
      </w:r>
      <w:r w:rsidR="001E0F4B">
        <w:tab/>
      </w:r>
      <w:r w:rsidR="001E0F4B">
        <w:tab/>
      </w:r>
      <w:r w:rsidR="001E0F4B">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6B3568">
        <w:t xml:space="preserve"> Lélia Müller</w:t>
      </w:r>
      <w:r w:rsidR="00F1446D">
        <w:tab/>
      </w:r>
      <w:r w:rsidR="00F1446D">
        <w:tab/>
      </w:r>
      <w:r w:rsidR="00F1446D">
        <w:tab/>
      </w:r>
      <w:r w:rsidR="00F1446D">
        <w:tab/>
      </w:r>
      <w:r w:rsidRPr="007450B1">
        <w:rPr>
          <w:b/>
        </w:rPr>
        <w:t>Conclusão do Voto:</w:t>
      </w:r>
      <w:r>
        <w:t xml:space="preserve"> Favorável</w:t>
      </w:r>
    </w:p>
    <w:p w:rsidR="00B4220F" w:rsidRPr="001E0F4B" w:rsidRDefault="001E0F4B" w:rsidP="00F1446D">
      <w:pPr>
        <w:pStyle w:val="Recuodecorpodetexto"/>
        <w:ind w:left="3238" w:hanging="3238"/>
        <w:jc w:val="both"/>
        <w:rPr>
          <w:bCs/>
        </w:rPr>
      </w:pPr>
      <w:r w:rsidRPr="001E0F4B">
        <w:rPr>
          <w:bCs/>
        </w:rPr>
        <w:t>Veto nº 01/16 À Lei Municipal nº 5.126 de 14-09-2015</w:t>
      </w:r>
    </w:p>
    <w:p w:rsidR="00EC1298" w:rsidRDefault="00EC1298" w:rsidP="00F1446D">
      <w:pPr>
        <w:pStyle w:val="Recuodecorpodetexto"/>
        <w:ind w:left="3238" w:hanging="3238"/>
        <w:jc w:val="both"/>
        <w:rPr>
          <w:bCs/>
        </w:rPr>
      </w:pPr>
    </w:p>
    <w:p w:rsidR="00AD6F69" w:rsidRDefault="00AD6F69" w:rsidP="00AD6F69">
      <w:pPr>
        <w:pStyle w:val="Recuodecorpodetexto"/>
        <w:ind w:left="3060" w:hanging="3240"/>
        <w:jc w:val="both"/>
        <w:rPr>
          <w:bCs/>
        </w:rPr>
      </w:pPr>
    </w:p>
    <w:p w:rsidR="00D515FB" w:rsidRDefault="001811F9" w:rsidP="006E2CB7">
      <w:pPr>
        <w:pStyle w:val="Recuodecorpodetexto"/>
        <w:ind w:left="2268" w:firstLine="0"/>
        <w:jc w:val="both"/>
        <w:rPr>
          <w:bCs/>
        </w:rPr>
      </w:pPr>
      <w:r w:rsidRPr="00EC1298">
        <w:rPr>
          <w:b/>
          <w:bCs/>
        </w:rPr>
        <w:t>Ementa</w:t>
      </w:r>
      <w:r w:rsidR="0084403C" w:rsidRPr="00EC1298">
        <w:rPr>
          <w:b/>
          <w:bCs/>
        </w:rPr>
        <w:t>:</w:t>
      </w:r>
      <w:r w:rsidR="0084403C" w:rsidRPr="0084403C">
        <w:rPr>
          <w:bCs/>
        </w:rPr>
        <w:t xml:space="preserve"> </w:t>
      </w:r>
      <w:r w:rsidR="001E0F4B">
        <w:rPr>
          <w:bCs/>
        </w:rPr>
        <w:t xml:space="preserve">Veto Parcial nº 01/16 À Lei Municipal nº 5.126 de 14-09-2015 – Originada do projeto de lei de iniciativa do Poder Legislativo nº 08, de 17 de junho de 2015, que dispõe sobre a proibição da prática de nepotismo no âmbito do Poder Legislativo e do </w:t>
      </w:r>
      <w:proofErr w:type="spellStart"/>
      <w:r w:rsidR="001E0F4B">
        <w:rPr>
          <w:bCs/>
        </w:rPr>
        <w:t>Pode</w:t>
      </w:r>
      <w:proofErr w:type="spellEnd"/>
      <w:r w:rsidR="001E0F4B">
        <w:rPr>
          <w:bCs/>
        </w:rPr>
        <w:t xml:space="preserve"> Executivo de Três Passos. </w:t>
      </w:r>
    </w:p>
    <w:p w:rsidR="0079055D" w:rsidRPr="006E2CB7" w:rsidRDefault="0079055D" w:rsidP="006E2CB7">
      <w:pPr>
        <w:pStyle w:val="Recuodecorpodetexto"/>
        <w:ind w:left="2268" w:firstLine="0"/>
        <w:jc w:val="both"/>
        <w:rPr>
          <w:bCs/>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proofErr w:type="gramStart"/>
      <w:r w:rsidRPr="002324FA">
        <w:t>supra citado</w:t>
      </w:r>
      <w:proofErr w:type="gramEnd"/>
      <w:r w:rsidRPr="002324FA">
        <w:t>, conforme segue:</w:t>
      </w:r>
    </w:p>
    <w:p w:rsidR="003C337D" w:rsidRPr="003C337D" w:rsidRDefault="003C337D" w:rsidP="003C337D">
      <w:pPr>
        <w:jc w:val="both"/>
      </w:pPr>
    </w:p>
    <w:p w:rsidR="004F6099" w:rsidRDefault="00AD6F69" w:rsidP="005E5C63">
      <w:pPr>
        <w:jc w:val="center"/>
        <w:rPr>
          <w:b/>
          <w:bCs/>
        </w:rPr>
      </w:pPr>
      <w:r>
        <w:rPr>
          <w:b/>
          <w:bCs/>
        </w:rPr>
        <w:t>Relatório:</w:t>
      </w:r>
    </w:p>
    <w:p w:rsidR="001D686C" w:rsidRDefault="001D686C" w:rsidP="001D686C">
      <w:pPr>
        <w:jc w:val="center"/>
        <w:rPr>
          <w:b/>
          <w:bCs/>
        </w:rPr>
      </w:pPr>
    </w:p>
    <w:p w:rsidR="001D686C" w:rsidRPr="001D686C" w:rsidRDefault="001D686C" w:rsidP="001D686C">
      <w:pPr>
        <w:ind w:firstLine="708"/>
        <w:jc w:val="both"/>
      </w:pPr>
      <w:r w:rsidRPr="001D686C">
        <w:t xml:space="preserve">De autoria do Vereador Paulo </w:t>
      </w:r>
      <w:proofErr w:type="spellStart"/>
      <w:r w:rsidRPr="001D686C">
        <w:t>Zugel</w:t>
      </w:r>
      <w:proofErr w:type="spellEnd"/>
      <w:r w:rsidRPr="001D686C">
        <w:t>, o Projeto em epígrafe objetiva a proibição da prática de nepotismo no âmbito do Poder Legislativo e do Poder Executivo do Município de Três Passos.</w:t>
      </w:r>
    </w:p>
    <w:p w:rsidR="001D686C" w:rsidRPr="001D686C" w:rsidRDefault="001D686C" w:rsidP="001D686C">
      <w:pPr>
        <w:jc w:val="both"/>
      </w:pPr>
      <w:r>
        <w:tab/>
      </w:r>
      <w:r w:rsidRPr="001D686C">
        <w:t xml:space="preserve">Após o trâmite regimental, foi o Projeto aprovado em Sessão de 24 de agosto de 2015, sendo expedido o Autógrafo de </w:t>
      </w:r>
      <w:proofErr w:type="gramStart"/>
      <w:r w:rsidRPr="001D686C">
        <w:t>n.º</w:t>
      </w:r>
      <w:proofErr w:type="gramEnd"/>
      <w:r w:rsidRPr="001D686C">
        <w:t xml:space="preserve"> 162/2015.</w:t>
      </w:r>
    </w:p>
    <w:p w:rsidR="001D686C" w:rsidRPr="001D686C" w:rsidRDefault="001D686C" w:rsidP="001D686C">
      <w:pPr>
        <w:jc w:val="both"/>
      </w:pPr>
      <w:r>
        <w:tab/>
      </w:r>
      <w:r w:rsidRPr="001D686C">
        <w:t>Através do Ofício GAB nº167/2015, o Senhor Prefeito Municipal, usando da faculdade que lhe confere o artigo 66, § 1º, da Constituição Federal, combinado com o artigo 87, inc. V, da Lei Orgânica Municipal, vetou parcialmente o Projeto.</w:t>
      </w:r>
    </w:p>
    <w:p w:rsidR="001D686C" w:rsidRPr="001D686C" w:rsidRDefault="001D686C" w:rsidP="001D686C">
      <w:pPr>
        <w:jc w:val="both"/>
      </w:pPr>
      <w:r>
        <w:tab/>
      </w:r>
      <w:r w:rsidRPr="001D686C">
        <w:t xml:space="preserve">Nessas condições, a propositura retorna ao exame desta Casa, nos termos do que estabelece o art. 72, §4º, da Lei Orgânica </w:t>
      </w:r>
      <w:proofErr w:type="spellStart"/>
      <w:r w:rsidRPr="001D686C">
        <w:t>Trespassense</w:t>
      </w:r>
      <w:proofErr w:type="spellEnd"/>
      <w:r w:rsidRPr="001D686C">
        <w:t xml:space="preserve">. </w:t>
      </w:r>
    </w:p>
    <w:p w:rsidR="001D686C" w:rsidRPr="001D686C" w:rsidRDefault="001D686C" w:rsidP="001D686C">
      <w:pPr>
        <w:jc w:val="both"/>
      </w:pPr>
      <w:r>
        <w:tab/>
      </w:r>
      <w:r w:rsidRPr="001D686C">
        <w:t xml:space="preserve">Em cumprimento ao disposto no art. 165 do Regimento Interno da Câmara Municipal de Três Passos, foi o Projeto encaminhado ao exame da Comissão, competindo-nos nesta oportunidade, analisar a matéria vetada quanto ao aspecto </w:t>
      </w:r>
      <w:proofErr w:type="gramStart"/>
      <w:r w:rsidRPr="001D686C">
        <w:t>constitucional</w:t>
      </w:r>
      <w:proofErr w:type="gramEnd"/>
      <w:r w:rsidRPr="001D686C">
        <w:t>, legal e jurídico.</w:t>
      </w:r>
    </w:p>
    <w:p w:rsidR="001D686C" w:rsidRDefault="001D686C" w:rsidP="001D686C">
      <w:pPr>
        <w:jc w:val="both"/>
      </w:pPr>
      <w:r>
        <w:tab/>
        <w:t>Ao fazê-lo, verifico</w:t>
      </w:r>
      <w:r w:rsidRPr="001D686C">
        <w:t xml:space="preserve"> que o Senhor Prefeito apresentou as razões do veto em conformidade com o disposto no artigo 72 e seus parágrafos da Lei Orgânica, obedecendo, inclusive, ao prazo de quinze dias úteis, contados da data do recebimento do projeto, de acordo com o § 1º do citado artigo.</w:t>
      </w:r>
    </w:p>
    <w:p w:rsidR="00C9068E" w:rsidRPr="001D686C" w:rsidRDefault="00C9068E" w:rsidP="00C9068E">
      <w:pPr>
        <w:pStyle w:val="Recuodecorpodetexto"/>
        <w:ind w:left="-142" w:firstLine="850"/>
        <w:jc w:val="both"/>
      </w:pPr>
      <w:r>
        <w:t>Solicitou-se Orientação Técnica da Procuradora Jurídica desta Casa, a qual considerou que não há</w:t>
      </w:r>
      <w:r>
        <w:rPr>
          <w:bCs/>
        </w:rPr>
        <w:t xml:space="preserve"> vícios de natureza formal ou material nos incisos II, V do art. 2° do Projeto de Lei Legislativa nº 08/2015. Por outro lado, concluiu pela inconstitucionalidade do inciso VI do art. 2º, pela inconstitucionalidade da expressão “servidor efetivo” para o cargo de Secretário Municipal previsto no §1º do art. 2º, bem como pela inconstitucionalidade do art. 7º do Projeto de Lei em comento. </w:t>
      </w:r>
    </w:p>
    <w:p w:rsidR="008E7AF1" w:rsidRPr="008E7AF1" w:rsidRDefault="008E7AF1" w:rsidP="001D686C">
      <w:pPr>
        <w:jc w:val="both"/>
        <w:rPr>
          <w:bCs/>
          <w:i/>
        </w:rPr>
      </w:pPr>
    </w:p>
    <w:p w:rsidR="0089771C" w:rsidRDefault="00AD6F69" w:rsidP="005E5C63">
      <w:pPr>
        <w:jc w:val="center"/>
        <w:rPr>
          <w:b/>
          <w:bCs/>
        </w:rPr>
      </w:pPr>
      <w:r>
        <w:rPr>
          <w:b/>
          <w:bCs/>
        </w:rPr>
        <w:t>Análise:</w:t>
      </w:r>
    </w:p>
    <w:p w:rsidR="00B41FD4" w:rsidRPr="001D686C" w:rsidRDefault="00B41FD4" w:rsidP="001D686C">
      <w:pPr>
        <w:jc w:val="center"/>
        <w:rPr>
          <w:b/>
          <w:bCs/>
        </w:rPr>
      </w:pPr>
    </w:p>
    <w:p w:rsidR="001D686C" w:rsidRPr="001D686C" w:rsidRDefault="00C9068E" w:rsidP="001D686C">
      <w:pPr>
        <w:jc w:val="both"/>
      </w:pPr>
      <w:r>
        <w:tab/>
        <w:t>Em</w:t>
      </w:r>
      <w:r w:rsidR="00254497">
        <w:t xml:space="preserve"> que pese o entendimento exarado na</w:t>
      </w:r>
      <w:r>
        <w:t xml:space="preserve"> Orientação Jurídica</w:t>
      </w:r>
      <w:r w:rsidR="008C7D87">
        <w:t xml:space="preserve"> apresentada, ao analisar</w:t>
      </w:r>
      <w:r w:rsidR="001D686C" w:rsidRPr="001D686C">
        <w:t xml:space="preserve"> a matéria ver</w:t>
      </w:r>
      <w:r>
        <w:t>ifico</w:t>
      </w:r>
      <w:r w:rsidR="001D686C" w:rsidRPr="001D686C">
        <w:t xml:space="preserve"> que assiste razão o Senhor Prefeito</w:t>
      </w:r>
      <w:r w:rsidR="008C7D87">
        <w:t xml:space="preserve"> em seu veto parcial</w:t>
      </w:r>
      <w:r w:rsidR="001D686C" w:rsidRPr="001D686C">
        <w:t>, tendo em vista que, de fato, incisos II, V e VI e §1º do art. 2º e art. 7º apresentam disposições inconstitucionais.</w:t>
      </w:r>
    </w:p>
    <w:p w:rsidR="001D686C" w:rsidRDefault="00C9068E" w:rsidP="001D686C">
      <w:pPr>
        <w:jc w:val="both"/>
      </w:pPr>
      <w:r>
        <w:tab/>
      </w:r>
      <w:r w:rsidR="001D686C" w:rsidRPr="001D686C">
        <w:t>A fim de e</w:t>
      </w:r>
      <w:r>
        <w:t>vitar tautologia, transcrevo</w:t>
      </w:r>
      <w:r w:rsidR="001D686C" w:rsidRPr="001D686C">
        <w:t xml:space="preserve"> os fundamentos do veto exarado pelo Chefe do Executivo Municipal</w:t>
      </w:r>
      <w:r>
        <w:t>, que adoto</w:t>
      </w:r>
      <w:r w:rsidR="001D686C" w:rsidRPr="001D686C">
        <w:t xml:space="preserve"> como razão para decidir:</w:t>
      </w:r>
    </w:p>
    <w:p w:rsidR="001D686C" w:rsidRPr="001D686C" w:rsidRDefault="001D686C" w:rsidP="001D686C">
      <w:pPr>
        <w:jc w:val="both"/>
      </w:pPr>
    </w:p>
    <w:p w:rsidR="001D686C" w:rsidRPr="001D686C" w:rsidRDefault="001D686C" w:rsidP="001D686C">
      <w:pPr>
        <w:pStyle w:val="PargrafodaLista"/>
        <w:numPr>
          <w:ilvl w:val="0"/>
          <w:numId w:val="3"/>
        </w:numPr>
        <w:spacing w:after="160" w:line="360" w:lineRule="auto"/>
        <w:ind w:left="1560"/>
        <w:jc w:val="both"/>
        <w:rPr>
          <w:rFonts w:ascii="Arial" w:hAnsi="Arial" w:cs="Arial"/>
          <w:b/>
          <w:sz w:val="20"/>
          <w:szCs w:val="20"/>
        </w:rPr>
      </w:pPr>
      <w:r w:rsidRPr="001D686C">
        <w:rPr>
          <w:rFonts w:ascii="Arial" w:hAnsi="Arial" w:cs="Arial"/>
          <w:sz w:val="20"/>
          <w:szCs w:val="20"/>
        </w:rPr>
        <w:t xml:space="preserve">“ </w:t>
      </w:r>
      <w:r w:rsidRPr="001D686C">
        <w:rPr>
          <w:rFonts w:ascii="Arial" w:hAnsi="Arial" w:cs="Arial"/>
          <w:b/>
          <w:sz w:val="20"/>
          <w:szCs w:val="20"/>
        </w:rPr>
        <w:t>Nomeação de agentes políticos</w:t>
      </w:r>
    </w:p>
    <w:p w:rsidR="001D686C" w:rsidRPr="001D686C" w:rsidRDefault="001D686C" w:rsidP="001D686C">
      <w:pPr>
        <w:tabs>
          <w:tab w:val="left" w:pos="1134"/>
        </w:tabs>
        <w:spacing w:after="120" w:line="360" w:lineRule="auto"/>
        <w:ind w:left="1560" w:firstLine="1134"/>
        <w:jc w:val="both"/>
        <w:rPr>
          <w:rFonts w:ascii="Arial" w:hAnsi="Arial" w:cs="Arial"/>
          <w:sz w:val="20"/>
          <w:szCs w:val="20"/>
        </w:rPr>
      </w:pPr>
      <w:r w:rsidRPr="001D686C">
        <w:rPr>
          <w:rFonts w:ascii="Arial" w:hAnsi="Arial" w:cs="Arial"/>
          <w:sz w:val="20"/>
          <w:szCs w:val="20"/>
        </w:rPr>
        <w:t>Prevê o art. 2º, inc. II, do Projeto de Lei de iniciativa do Poder Legislativo nº 08, de 17 de junho de 2015, que constitui prática de nepotismo, dentre outras:</w:t>
      </w:r>
    </w:p>
    <w:p w:rsidR="001D686C" w:rsidRPr="001D686C" w:rsidRDefault="001D686C" w:rsidP="001D686C">
      <w:pPr>
        <w:tabs>
          <w:tab w:val="left" w:pos="1134"/>
        </w:tabs>
        <w:spacing w:line="360" w:lineRule="auto"/>
        <w:ind w:left="1560"/>
        <w:jc w:val="both"/>
        <w:rPr>
          <w:rFonts w:ascii="Arial" w:hAnsi="Arial" w:cs="Arial"/>
          <w:i/>
          <w:sz w:val="20"/>
          <w:szCs w:val="20"/>
        </w:rPr>
      </w:pPr>
      <w:r w:rsidRPr="001D686C">
        <w:rPr>
          <w:rFonts w:ascii="Arial" w:hAnsi="Arial" w:cs="Arial"/>
          <w:i/>
          <w:sz w:val="20"/>
          <w:szCs w:val="20"/>
        </w:rPr>
        <w:t xml:space="preserve">II – </w:t>
      </w:r>
      <w:proofErr w:type="gramStart"/>
      <w:r w:rsidRPr="001D686C">
        <w:rPr>
          <w:rFonts w:ascii="Arial" w:hAnsi="Arial" w:cs="Arial"/>
          <w:i/>
          <w:sz w:val="20"/>
          <w:szCs w:val="20"/>
        </w:rPr>
        <w:t>o</w:t>
      </w:r>
      <w:proofErr w:type="gramEnd"/>
      <w:r w:rsidRPr="001D686C">
        <w:rPr>
          <w:rFonts w:ascii="Arial" w:hAnsi="Arial" w:cs="Arial"/>
          <w:i/>
          <w:sz w:val="20"/>
          <w:szCs w:val="20"/>
        </w:rPr>
        <w:t xml:space="preserve"> exercício do cargo de secretário municipal por cônjuge, companheiro ou parente em linha reta, colateral, por afinidade e por adoção, até o segundo grau, inclusive, do Prefeito, Vice Prefeito, Presidente da Câmara Municipal e Vereadores;</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À luz da dicção que emerge do art. 2º, exsurge que às autoridades municipais dos poderes Executivo e Legislativo restaria vedado proceder às nomeações de cônjuges, companheiros, parentes por consanguinidade até 2º grau, parentes por adoção e por afinidade.</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No tocante aos cargos de Secretários Municipais, que são, como de conhecimento comum, </w:t>
      </w:r>
      <w:r w:rsidRPr="001D686C">
        <w:rPr>
          <w:rFonts w:ascii="Arial" w:eastAsia="Calibri" w:hAnsi="Arial" w:cs="Arial"/>
          <w:sz w:val="20"/>
          <w:szCs w:val="20"/>
          <w:u w:val="single"/>
        </w:rPr>
        <w:t>agentes políticos</w:t>
      </w:r>
      <w:r w:rsidRPr="001D686C">
        <w:rPr>
          <w:rFonts w:ascii="Arial" w:eastAsia="Calibri" w:hAnsi="Arial" w:cs="Arial"/>
          <w:sz w:val="20"/>
          <w:szCs w:val="20"/>
        </w:rPr>
        <w:t xml:space="preserve">, a pretendida vedação não encontra eco na interpretação que foi dada, no particular, pelo </w:t>
      </w:r>
      <w:proofErr w:type="spellStart"/>
      <w:r w:rsidRPr="001D686C">
        <w:rPr>
          <w:rFonts w:ascii="Arial" w:eastAsia="Calibri" w:hAnsi="Arial" w:cs="Arial"/>
          <w:sz w:val="20"/>
          <w:szCs w:val="20"/>
        </w:rPr>
        <w:t>eg</w:t>
      </w:r>
      <w:proofErr w:type="spellEnd"/>
      <w:r w:rsidRPr="001D686C">
        <w:rPr>
          <w:rFonts w:ascii="Arial" w:eastAsia="Calibri" w:hAnsi="Arial" w:cs="Arial"/>
          <w:sz w:val="20"/>
          <w:szCs w:val="20"/>
        </w:rPr>
        <w:t>. Supremo Tribunal Federal, ao art. 37 da Constituição Federal.</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Aliás, conforme exarado na própria orientação técnica emitida pela Procuradora Jurídica da Câmara Municipal, </w:t>
      </w:r>
      <w:r w:rsidRPr="001D686C">
        <w:rPr>
          <w:rFonts w:ascii="Arial" w:eastAsia="Calibri" w:hAnsi="Arial" w:cs="Arial"/>
          <w:sz w:val="20"/>
          <w:szCs w:val="20"/>
          <w:u w:val="single"/>
        </w:rPr>
        <w:t>que foi ignorada pelos edis que votaram a favor do projeto</w:t>
      </w:r>
      <w:r w:rsidRPr="001D686C">
        <w:rPr>
          <w:rFonts w:ascii="Arial" w:eastAsia="Calibri" w:hAnsi="Arial" w:cs="Arial"/>
          <w:sz w:val="20"/>
          <w:szCs w:val="20"/>
        </w:rPr>
        <w:t>, “O cargo de Secretário Municipal é considerado como agente político, sendo assim, cargo de absoluta confiança da autoridade nomeante e, portanto, não se insere no texto da Súmula Vinculante nº 13 do STF”.</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Como dito, o Supremo Tribunal Federal, ao firmar o preceito de repúdio ao nepotismo, </w:t>
      </w:r>
      <w:proofErr w:type="spellStart"/>
      <w:r w:rsidRPr="001D686C">
        <w:rPr>
          <w:rFonts w:ascii="Arial" w:eastAsia="Calibri" w:hAnsi="Arial" w:cs="Arial"/>
          <w:sz w:val="20"/>
          <w:szCs w:val="20"/>
        </w:rPr>
        <w:t>excepcionalizou</w:t>
      </w:r>
      <w:proofErr w:type="spellEnd"/>
      <w:r w:rsidRPr="001D686C">
        <w:rPr>
          <w:rFonts w:ascii="Arial" w:eastAsia="Calibri" w:hAnsi="Arial" w:cs="Arial"/>
          <w:sz w:val="20"/>
          <w:szCs w:val="20"/>
        </w:rPr>
        <w:t xml:space="preserve"> os cargos políticos, consoante se visualiza nos termos das decisões abaixo relacionadas:</w:t>
      </w:r>
    </w:p>
    <w:p w:rsidR="001D686C" w:rsidRPr="001D686C" w:rsidRDefault="001D686C" w:rsidP="001D686C">
      <w:pPr>
        <w:spacing w:line="360" w:lineRule="auto"/>
        <w:ind w:left="1560"/>
        <w:jc w:val="both"/>
        <w:rPr>
          <w:rFonts w:ascii="Arial" w:eastAsia="Calibri" w:hAnsi="Arial" w:cs="Arial"/>
          <w:i/>
          <w:sz w:val="20"/>
          <w:szCs w:val="20"/>
        </w:rPr>
      </w:pPr>
      <w:r w:rsidRPr="001D686C">
        <w:rPr>
          <w:rFonts w:ascii="Arial" w:eastAsia="Calibri" w:hAnsi="Arial" w:cs="Arial"/>
          <w:i/>
          <w:sz w:val="20"/>
          <w:szCs w:val="20"/>
        </w:rPr>
        <w:t xml:space="preserve">“AGRAVO REGIMENTAL EM MEDIDA CAUTELAR EM RECLAMAÇÃO. NOMEAÇÃO DE IRMÃO DE GOVERNADOR DE ESTADO. CARGO DE SECRETÁRIO DE ESTADO. NEPOTISMO. SÚMULA VINCULANTE Nº 13. INAPLICABILIDADE AO CASO. CARGO DE NATUREZA POLÍTICA. AGENTE POLÍTICO. ENTENDIMENTO FIRMADO NO JULGAMENTO DO RECURSO EXTRAORDINÁRIO 579.951/RN. OCORRÊNCIA DA FUMAÇA DO BOM DIREITO. </w:t>
      </w:r>
      <w:r w:rsidRPr="001D686C">
        <w:rPr>
          <w:rFonts w:ascii="Arial" w:eastAsia="Calibri" w:hAnsi="Arial" w:cs="Arial"/>
          <w:b/>
          <w:i/>
          <w:sz w:val="20"/>
          <w:szCs w:val="20"/>
        </w:rPr>
        <w:t xml:space="preserve">1. Impossibilidade de submissão do reclamante, Secretário Estadual de Transporte, agente político, às hipóteses expressamente </w:t>
      </w:r>
      <w:r w:rsidRPr="001D686C">
        <w:rPr>
          <w:rFonts w:ascii="Arial" w:eastAsia="Calibri" w:hAnsi="Arial" w:cs="Arial"/>
          <w:b/>
          <w:i/>
          <w:sz w:val="20"/>
          <w:szCs w:val="20"/>
        </w:rPr>
        <w:lastRenderedPageBreak/>
        <w:t>elencadas na Súmula Vinculante nº 13, por se tratar de cargo de natureza política.</w:t>
      </w:r>
      <w:r w:rsidRPr="001D686C">
        <w:rPr>
          <w:rFonts w:ascii="Arial" w:eastAsia="Calibri" w:hAnsi="Arial" w:cs="Arial"/>
          <w:i/>
          <w:sz w:val="20"/>
          <w:szCs w:val="20"/>
        </w:rPr>
        <w:t xml:space="preserve"> 2. Existência de precedente do Plenário do Tribunal: RE 579.951/RN, rel. Min. Ricardo </w:t>
      </w:r>
      <w:proofErr w:type="spellStart"/>
      <w:r w:rsidRPr="001D686C">
        <w:rPr>
          <w:rFonts w:ascii="Arial" w:eastAsia="Calibri" w:hAnsi="Arial" w:cs="Arial"/>
          <w:i/>
          <w:sz w:val="20"/>
          <w:szCs w:val="20"/>
        </w:rPr>
        <w:t>Lewandowski</w:t>
      </w:r>
      <w:proofErr w:type="spellEnd"/>
      <w:r w:rsidRPr="001D686C">
        <w:rPr>
          <w:rFonts w:ascii="Arial" w:eastAsia="Calibri" w:hAnsi="Arial" w:cs="Arial"/>
          <w:i/>
          <w:sz w:val="20"/>
          <w:szCs w:val="20"/>
        </w:rPr>
        <w:t xml:space="preserve">, DJE 12.9.2008. (...) (STF - </w:t>
      </w:r>
      <w:proofErr w:type="spellStart"/>
      <w:r w:rsidRPr="001D686C">
        <w:rPr>
          <w:rFonts w:ascii="Arial" w:eastAsia="Calibri" w:hAnsi="Arial" w:cs="Arial"/>
          <w:i/>
          <w:sz w:val="20"/>
          <w:szCs w:val="20"/>
        </w:rPr>
        <w:t>Rcl</w:t>
      </w:r>
      <w:proofErr w:type="spellEnd"/>
      <w:r w:rsidRPr="001D686C">
        <w:rPr>
          <w:rFonts w:ascii="Arial" w:eastAsia="Calibri" w:hAnsi="Arial" w:cs="Arial"/>
          <w:i/>
          <w:sz w:val="20"/>
          <w:szCs w:val="20"/>
        </w:rPr>
        <w:t>-MC-</w:t>
      </w:r>
      <w:proofErr w:type="spellStart"/>
      <w:r w:rsidRPr="001D686C">
        <w:rPr>
          <w:rFonts w:ascii="Arial" w:eastAsia="Calibri" w:hAnsi="Arial" w:cs="Arial"/>
          <w:i/>
          <w:sz w:val="20"/>
          <w:szCs w:val="20"/>
        </w:rPr>
        <w:t>AgR</w:t>
      </w:r>
      <w:proofErr w:type="spellEnd"/>
      <w:r w:rsidRPr="001D686C">
        <w:rPr>
          <w:rFonts w:ascii="Arial" w:eastAsia="Calibri" w:hAnsi="Arial" w:cs="Arial"/>
          <w:i/>
          <w:sz w:val="20"/>
          <w:szCs w:val="20"/>
        </w:rPr>
        <w:t xml:space="preserve">: 6650 </w:t>
      </w:r>
      <w:proofErr w:type="gramStart"/>
      <w:r w:rsidRPr="001D686C">
        <w:rPr>
          <w:rFonts w:ascii="Arial" w:eastAsia="Calibri" w:hAnsi="Arial" w:cs="Arial"/>
          <w:i/>
          <w:sz w:val="20"/>
          <w:szCs w:val="20"/>
        </w:rPr>
        <w:t>PR ,</w:t>
      </w:r>
      <w:proofErr w:type="gramEnd"/>
      <w:r w:rsidRPr="001D686C">
        <w:rPr>
          <w:rFonts w:ascii="Arial" w:eastAsia="Calibri" w:hAnsi="Arial" w:cs="Arial"/>
          <w:i/>
          <w:sz w:val="20"/>
          <w:szCs w:val="20"/>
        </w:rPr>
        <w:t xml:space="preserve"> Relator: ELLEN GRACIE, Data de Julgamento: 16/10/2008, Tribunal Pleno, Data de Publicação: DJe-222 DIVULG 20-11-2008 PUBLIC 21-11-2008 EMENT VOL-02342-02 PP-00277) (Grifamos)”</w:t>
      </w:r>
    </w:p>
    <w:p w:rsidR="001D686C" w:rsidRPr="001D686C" w:rsidRDefault="001D686C" w:rsidP="001D686C">
      <w:pPr>
        <w:spacing w:line="360" w:lineRule="auto"/>
        <w:ind w:left="1560" w:firstLine="1134"/>
        <w:jc w:val="both"/>
        <w:rPr>
          <w:rFonts w:ascii="Arial" w:eastAsia="Calibri" w:hAnsi="Arial" w:cs="Arial"/>
          <w:sz w:val="20"/>
          <w:szCs w:val="20"/>
        </w:rPr>
      </w:pPr>
    </w:p>
    <w:p w:rsidR="001D686C" w:rsidRPr="001D686C" w:rsidRDefault="001D686C" w:rsidP="001D686C">
      <w:pPr>
        <w:spacing w:line="360" w:lineRule="auto"/>
        <w:ind w:left="1560"/>
        <w:jc w:val="both"/>
        <w:rPr>
          <w:rFonts w:ascii="Arial" w:eastAsia="Calibri" w:hAnsi="Arial" w:cs="Arial"/>
          <w:i/>
          <w:sz w:val="20"/>
          <w:szCs w:val="20"/>
        </w:rPr>
      </w:pPr>
      <w:r w:rsidRPr="001D686C">
        <w:rPr>
          <w:rFonts w:ascii="Arial" w:eastAsia="Calibri" w:hAnsi="Arial" w:cs="Arial"/>
          <w:i/>
          <w:sz w:val="20"/>
          <w:szCs w:val="20"/>
        </w:rPr>
        <w:t xml:space="preserve">“CONSTITUCIONAL. ADMINISTRATIVO. AGRAVO REGIMENTAL NO RECURSO EXTRAORDINÁRIO. NOMEAÇÃO DE PARENTE PARA CARGO PÚBLICO DE NATUREZA POLÍTICA. </w:t>
      </w:r>
      <w:proofErr w:type="gramStart"/>
      <w:r w:rsidRPr="001D686C">
        <w:rPr>
          <w:rFonts w:ascii="Arial" w:eastAsia="Calibri" w:hAnsi="Arial" w:cs="Arial"/>
          <w:i/>
          <w:sz w:val="20"/>
          <w:szCs w:val="20"/>
        </w:rPr>
        <w:t>DESRESPEITO À</w:t>
      </w:r>
      <w:proofErr w:type="gramEnd"/>
      <w:r w:rsidRPr="001D686C">
        <w:rPr>
          <w:rFonts w:ascii="Arial" w:eastAsia="Calibri" w:hAnsi="Arial" w:cs="Arial"/>
          <w:i/>
          <w:sz w:val="20"/>
          <w:szCs w:val="20"/>
        </w:rPr>
        <w:t xml:space="preserve"> SÚMULA VINCULANTE 13. INOCORRÊNCIA. PRECEDENTES.</w:t>
      </w:r>
    </w:p>
    <w:p w:rsidR="001D686C" w:rsidRPr="001D686C" w:rsidRDefault="001D686C" w:rsidP="001D686C">
      <w:pPr>
        <w:spacing w:line="360" w:lineRule="auto"/>
        <w:ind w:left="1560"/>
        <w:jc w:val="both"/>
        <w:rPr>
          <w:rFonts w:ascii="Arial" w:eastAsia="Calibri" w:hAnsi="Arial" w:cs="Arial"/>
          <w:b/>
          <w:i/>
          <w:sz w:val="20"/>
          <w:szCs w:val="20"/>
        </w:rPr>
      </w:pPr>
      <w:r w:rsidRPr="001D686C">
        <w:rPr>
          <w:rFonts w:ascii="Arial" w:eastAsia="Calibri" w:hAnsi="Arial" w:cs="Arial"/>
          <w:b/>
          <w:i/>
          <w:sz w:val="20"/>
          <w:szCs w:val="20"/>
        </w:rPr>
        <w:t>1. A jurisprudência do STF preconiza que, ressalvada situação de fraude à lei, a nomeação de parentes para cargos públicos de natureza política não desrespeita o conteúdo normativo do enunciado da Súmula Vinculante 13.</w:t>
      </w:r>
    </w:p>
    <w:p w:rsidR="001D686C" w:rsidRPr="001D686C" w:rsidRDefault="001D686C" w:rsidP="001D686C">
      <w:pPr>
        <w:spacing w:line="360" w:lineRule="auto"/>
        <w:ind w:left="1560"/>
        <w:jc w:val="both"/>
        <w:rPr>
          <w:rFonts w:ascii="Arial" w:eastAsia="Calibri" w:hAnsi="Arial" w:cs="Arial"/>
          <w:i/>
          <w:sz w:val="20"/>
          <w:szCs w:val="20"/>
        </w:rPr>
      </w:pPr>
      <w:r w:rsidRPr="001D686C">
        <w:rPr>
          <w:rFonts w:ascii="Arial" w:eastAsia="Calibri" w:hAnsi="Arial" w:cs="Arial"/>
          <w:i/>
          <w:sz w:val="20"/>
          <w:szCs w:val="20"/>
        </w:rPr>
        <w:t xml:space="preserve">2. Agravo regimental a que se nega provimento. (STF - </w:t>
      </w:r>
      <w:proofErr w:type="spellStart"/>
      <w:r w:rsidRPr="001D686C">
        <w:rPr>
          <w:rFonts w:ascii="Arial" w:eastAsia="Calibri" w:hAnsi="Arial" w:cs="Arial"/>
          <w:i/>
          <w:sz w:val="20"/>
          <w:szCs w:val="20"/>
        </w:rPr>
        <w:t>AgR</w:t>
      </w:r>
      <w:proofErr w:type="spellEnd"/>
      <w:r w:rsidRPr="001D686C">
        <w:rPr>
          <w:rFonts w:ascii="Arial" w:eastAsia="Calibri" w:hAnsi="Arial" w:cs="Arial"/>
          <w:i/>
          <w:sz w:val="20"/>
          <w:szCs w:val="20"/>
        </w:rPr>
        <w:t xml:space="preserve"> RE: 825682 SC - SANTA </w:t>
      </w:r>
      <w:proofErr w:type="gramStart"/>
      <w:r w:rsidRPr="001D686C">
        <w:rPr>
          <w:rFonts w:ascii="Arial" w:eastAsia="Calibri" w:hAnsi="Arial" w:cs="Arial"/>
          <w:i/>
          <w:sz w:val="20"/>
          <w:szCs w:val="20"/>
        </w:rPr>
        <w:t>CATARINA ,</w:t>
      </w:r>
      <w:proofErr w:type="gramEnd"/>
      <w:r w:rsidRPr="001D686C">
        <w:rPr>
          <w:rFonts w:ascii="Arial" w:eastAsia="Calibri" w:hAnsi="Arial" w:cs="Arial"/>
          <w:i/>
          <w:sz w:val="20"/>
          <w:szCs w:val="20"/>
        </w:rPr>
        <w:t xml:space="preserve"> Relator: Min. TEORI ZAVASCKI, Data de Julgamento: 10/02/2015, Segunda Turma, Data de Publicação: DJe-039 02-03-2015) (Grifamos)”</w:t>
      </w:r>
    </w:p>
    <w:p w:rsidR="001D686C" w:rsidRPr="001D686C" w:rsidRDefault="001D686C" w:rsidP="001D686C">
      <w:pPr>
        <w:spacing w:line="360" w:lineRule="auto"/>
        <w:ind w:left="1560"/>
        <w:jc w:val="both"/>
        <w:rPr>
          <w:rFonts w:ascii="Arial" w:eastAsia="Calibri" w:hAnsi="Arial" w:cs="Arial"/>
          <w:sz w:val="20"/>
          <w:szCs w:val="20"/>
        </w:rPr>
      </w:pPr>
    </w:p>
    <w:p w:rsidR="001D686C" w:rsidRPr="001D686C" w:rsidRDefault="001D686C" w:rsidP="001D686C">
      <w:pPr>
        <w:spacing w:line="360" w:lineRule="auto"/>
        <w:ind w:left="1560"/>
        <w:jc w:val="both"/>
        <w:rPr>
          <w:rFonts w:ascii="Arial" w:eastAsia="Calibri" w:hAnsi="Arial" w:cs="Arial"/>
          <w:i/>
          <w:sz w:val="20"/>
          <w:szCs w:val="20"/>
        </w:rPr>
      </w:pPr>
      <w:r w:rsidRPr="001D686C">
        <w:rPr>
          <w:rFonts w:ascii="Arial" w:eastAsia="Calibri" w:hAnsi="Arial" w:cs="Arial"/>
          <w:i/>
          <w:sz w:val="20"/>
          <w:szCs w:val="20"/>
        </w:rPr>
        <w:t xml:space="preserve">“RECLAMAÇÃO CONSTITUCIONAL E ADMINISTRATIVO. NEPOTISMO. SÚMULA VINCULANTE Nº 13. DISTINÇÃO ENTRE CARGOS POLÍTICOS E ADMINISTRATIVOS. PROCEDÊNCIA. </w:t>
      </w:r>
      <w:r w:rsidRPr="001D686C">
        <w:rPr>
          <w:rFonts w:ascii="Arial" w:eastAsia="Calibri" w:hAnsi="Arial" w:cs="Arial"/>
          <w:b/>
          <w:i/>
          <w:sz w:val="20"/>
          <w:szCs w:val="20"/>
        </w:rPr>
        <w:t xml:space="preserve">1. Os cargos políticos são caracterizados não apenas por serem de livre nomeação ou exoneração, fundadas na fidúcia, mas também por seus titulares serem detentores de um </w:t>
      </w:r>
      <w:proofErr w:type="spellStart"/>
      <w:r w:rsidRPr="001D686C">
        <w:rPr>
          <w:rFonts w:ascii="Arial" w:eastAsia="Calibri" w:hAnsi="Arial" w:cs="Arial"/>
          <w:b/>
          <w:i/>
          <w:sz w:val="20"/>
          <w:szCs w:val="20"/>
        </w:rPr>
        <w:t>munus</w:t>
      </w:r>
      <w:proofErr w:type="spellEnd"/>
      <w:r w:rsidRPr="001D686C">
        <w:rPr>
          <w:rFonts w:ascii="Arial" w:eastAsia="Calibri" w:hAnsi="Arial" w:cs="Arial"/>
          <w:b/>
          <w:i/>
          <w:sz w:val="20"/>
          <w:szCs w:val="20"/>
        </w:rPr>
        <w:t xml:space="preserve"> governamental decorrente da Constituição Federal, não estando os seus ocupantes enquadrados na classificação de agentes administrativos. </w:t>
      </w:r>
      <w:r w:rsidRPr="001D686C">
        <w:rPr>
          <w:rFonts w:ascii="Arial" w:eastAsia="Calibri" w:hAnsi="Arial" w:cs="Arial"/>
          <w:i/>
          <w:sz w:val="20"/>
          <w:szCs w:val="20"/>
        </w:rPr>
        <w:t xml:space="preserve">2. Em hipóteses que atinjam ocupantes de cargos políticos, a configuração do nepotismo deve ser </w:t>
      </w:r>
      <w:proofErr w:type="gramStart"/>
      <w:r w:rsidRPr="001D686C">
        <w:rPr>
          <w:rFonts w:ascii="Arial" w:eastAsia="Calibri" w:hAnsi="Arial" w:cs="Arial"/>
          <w:i/>
          <w:sz w:val="20"/>
          <w:szCs w:val="20"/>
        </w:rPr>
        <w:t>analisado</w:t>
      </w:r>
      <w:proofErr w:type="gramEnd"/>
      <w:r w:rsidRPr="001D686C">
        <w:rPr>
          <w:rFonts w:ascii="Arial" w:eastAsia="Calibri" w:hAnsi="Arial" w:cs="Arial"/>
          <w:i/>
          <w:sz w:val="20"/>
          <w:szCs w:val="20"/>
        </w:rPr>
        <w:t xml:space="preserve"> caso a caso, a fim de se verificar eventual troca de favores ou fraude a lei. </w:t>
      </w:r>
      <w:r w:rsidRPr="001D686C">
        <w:rPr>
          <w:rFonts w:ascii="Arial" w:eastAsia="Calibri" w:hAnsi="Arial" w:cs="Arial"/>
          <w:b/>
          <w:i/>
          <w:sz w:val="20"/>
          <w:szCs w:val="20"/>
        </w:rPr>
        <w:t>3. Decisão judicial que anula ato de nomeação para cargo político apenas com fundamento na relação de parentesco estabelecida entre o nomeado e o chefe do Poder Executivo, em todas as esferas da federação, diverge do entendimento da Suprema Corte consubstanciado na Súmula Vinculante nº 13.</w:t>
      </w:r>
      <w:r w:rsidRPr="001D686C">
        <w:rPr>
          <w:rFonts w:ascii="Arial" w:eastAsia="Calibri" w:hAnsi="Arial" w:cs="Arial"/>
          <w:i/>
          <w:sz w:val="20"/>
          <w:szCs w:val="20"/>
        </w:rPr>
        <w:t xml:space="preserve"> 4. Reclamação julgada procedente. (STF - </w:t>
      </w:r>
      <w:proofErr w:type="spellStart"/>
      <w:r w:rsidRPr="001D686C">
        <w:rPr>
          <w:rFonts w:ascii="Arial" w:eastAsia="Calibri" w:hAnsi="Arial" w:cs="Arial"/>
          <w:i/>
          <w:sz w:val="20"/>
          <w:szCs w:val="20"/>
        </w:rPr>
        <w:t>Rcl</w:t>
      </w:r>
      <w:proofErr w:type="spellEnd"/>
      <w:r w:rsidRPr="001D686C">
        <w:rPr>
          <w:rFonts w:ascii="Arial" w:eastAsia="Calibri" w:hAnsi="Arial" w:cs="Arial"/>
          <w:i/>
          <w:sz w:val="20"/>
          <w:szCs w:val="20"/>
        </w:rPr>
        <w:t xml:space="preserve">: 7590 </w:t>
      </w:r>
      <w:proofErr w:type="gramStart"/>
      <w:r w:rsidRPr="001D686C">
        <w:rPr>
          <w:rFonts w:ascii="Arial" w:eastAsia="Calibri" w:hAnsi="Arial" w:cs="Arial"/>
          <w:i/>
          <w:sz w:val="20"/>
          <w:szCs w:val="20"/>
        </w:rPr>
        <w:t>PR ,</w:t>
      </w:r>
      <w:proofErr w:type="gramEnd"/>
      <w:r w:rsidRPr="001D686C">
        <w:rPr>
          <w:rFonts w:ascii="Arial" w:eastAsia="Calibri" w:hAnsi="Arial" w:cs="Arial"/>
          <w:i/>
          <w:sz w:val="20"/>
          <w:szCs w:val="20"/>
        </w:rPr>
        <w:t xml:space="preserve"> Relator: Min. DIAS TOFFOLI, Data de Julgamento: 30/09/2014, Primeira Turma, Data de Publicação: ACÓRDÃO ELETRÔNICO DJe-224 DIVULG 13-11-2014 PUBLIC 14-11-2014) (Grifamos)”</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Ao julgar o RE nº 579.951/RN, que deu ensejo à edição da Súmula Vinculante nº 13, o Ministro Ayres Britto enfrentou a distinção existente entre cargos estritamente administrativos e cargos políticos, situando os secretários municipais entre esses últimos, nos seguintes termos:</w:t>
      </w:r>
    </w:p>
    <w:p w:rsidR="001D686C" w:rsidRPr="001D686C" w:rsidRDefault="001D686C" w:rsidP="001D686C">
      <w:pPr>
        <w:spacing w:line="360" w:lineRule="auto"/>
        <w:ind w:left="1560"/>
        <w:jc w:val="both"/>
        <w:rPr>
          <w:rFonts w:ascii="Arial" w:eastAsia="Calibri" w:hAnsi="Arial" w:cs="Arial"/>
          <w:i/>
          <w:sz w:val="20"/>
          <w:szCs w:val="20"/>
        </w:rPr>
      </w:pPr>
      <w:r w:rsidRPr="001D686C">
        <w:rPr>
          <w:rFonts w:ascii="Arial" w:eastAsia="Calibri" w:hAnsi="Arial" w:cs="Arial"/>
          <w:i/>
          <w:sz w:val="20"/>
          <w:szCs w:val="20"/>
        </w:rPr>
        <w:lastRenderedPageBreak/>
        <w:t xml:space="preserve">“(...) os cargos aqui referidos no inciso V do artigo 37 são singelamente administrativos; são cargos criados por lei, não são nominados pela Constituição. </w:t>
      </w:r>
      <w:r w:rsidRPr="001D686C">
        <w:rPr>
          <w:rFonts w:ascii="Arial" w:eastAsia="Calibri" w:hAnsi="Arial" w:cs="Arial"/>
          <w:b/>
          <w:i/>
          <w:sz w:val="20"/>
          <w:szCs w:val="20"/>
        </w:rPr>
        <w:t>Os cargos de Secretário de Estado, Secretário Municipal têm por êmulo ou paradigma federal os cargos de Ministro de Estado cuja natureza é política, e não singelamente administrativa.</w:t>
      </w:r>
      <w:r w:rsidRPr="001D686C">
        <w:rPr>
          <w:rFonts w:ascii="Arial" w:eastAsia="Calibri" w:hAnsi="Arial" w:cs="Arial"/>
          <w:i/>
          <w:sz w:val="20"/>
          <w:szCs w:val="20"/>
        </w:rPr>
        <w:t xml:space="preserve"> Diz a Constituição Federal sobre o Poder Executivo: o Poder Executivo é exercido pelo Presidente da República, auxiliado pelos Ministros de Estado (art. 76). Ou seja, os Ministros de Estado são ocupantes de cargos de existência necessária, política, porque componentes do governo. Aonde eu quero chegar? </w:t>
      </w:r>
      <w:r w:rsidRPr="001D686C">
        <w:rPr>
          <w:rFonts w:ascii="Arial" w:eastAsia="Calibri" w:hAnsi="Arial" w:cs="Arial"/>
          <w:b/>
          <w:i/>
          <w:sz w:val="20"/>
          <w:szCs w:val="20"/>
        </w:rPr>
        <w:t>O Chefe do Poder Executivo é livre para escolher seus quadros de governo, mas não o é para escolher seus quadros administrativos, porque dentre os quadros administrativos estão os cargos em comissão, os cargos de provimento efetivo e as funções de confiança.</w:t>
      </w:r>
      <w:r w:rsidRPr="001D686C">
        <w:rPr>
          <w:rFonts w:ascii="Arial" w:eastAsia="Calibri" w:hAnsi="Arial" w:cs="Arial"/>
          <w:i/>
          <w:sz w:val="20"/>
          <w:szCs w:val="20"/>
        </w:rPr>
        <w:t xml:space="preserve"> A própria Constituição, sentando praça desse caráter constitucional, eminentemente político, dos Ministros de Estado - e isso vale no plano dos Estados-membros e no plano dos municípios -, além de dizer os requisitos deles (...), diz o que basicamente lhes compete. </w:t>
      </w:r>
      <w:r w:rsidRPr="001D686C">
        <w:rPr>
          <w:rFonts w:ascii="Arial" w:eastAsia="Calibri" w:hAnsi="Arial" w:cs="Arial"/>
          <w:b/>
          <w:i/>
          <w:sz w:val="20"/>
          <w:szCs w:val="20"/>
        </w:rPr>
        <w:t xml:space="preserve">Então, o assento, o </w:t>
      </w:r>
      <w:proofErr w:type="spellStart"/>
      <w:r w:rsidRPr="001D686C">
        <w:rPr>
          <w:rFonts w:ascii="Arial" w:eastAsia="Calibri" w:hAnsi="Arial" w:cs="Arial"/>
          <w:b/>
          <w:i/>
          <w:sz w:val="20"/>
          <w:szCs w:val="20"/>
        </w:rPr>
        <w:t>locus</w:t>
      </w:r>
      <w:proofErr w:type="spellEnd"/>
      <w:r w:rsidRPr="001D686C">
        <w:rPr>
          <w:rFonts w:ascii="Arial" w:eastAsia="Calibri" w:hAnsi="Arial" w:cs="Arial"/>
          <w:b/>
          <w:i/>
          <w:sz w:val="20"/>
          <w:szCs w:val="20"/>
        </w:rPr>
        <w:t xml:space="preserve"> jurídico dos auxiliares de governo é diretamente constitucional. A Constituição Federal a atestar o caráter político do cargo e do agente.</w:t>
      </w:r>
      <w:r w:rsidRPr="001D686C">
        <w:rPr>
          <w:rFonts w:ascii="Arial" w:eastAsia="Calibri" w:hAnsi="Arial" w:cs="Arial"/>
          <w:i/>
          <w:sz w:val="20"/>
          <w:szCs w:val="20"/>
        </w:rPr>
        <w:t xml:space="preserve"> (...)”</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Ou seja, resta claro que, ao arrepio do exposto na proposição legislativa nº 08/2015 e à própria orientação técnica da Casa Legislativa, o STF considerou que a Súmula Vinculante nº 13 </w:t>
      </w:r>
      <w:r w:rsidRPr="001D686C">
        <w:rPr>
          <w:rFonts w:ascii="Arial" w:eastAsia="Calibri" w:hAnsi="Arial" w:cs="Arial"/>
          <w:b/>
          <w:sz w:val="20"/>
          <w:szCs w:val="20"/>
        </w:rPr>
        <w:t>não</w:t>
      </w:r>
      <w:r w:rsidRPr="001D686C">
        <w:rPr>
          <w:rFonts w:ascii="Arial" w:eastAsia="Calibri" w:hAnsi="Arial" w:cs="Arial"/>
          <w:sz w:val="20"/>
          <w:szCs w:val="20"/>
        </w:rPr>
        <w:t xml:space="preserve"> pretendeu esgotar as possibilidades de nepotismo na Administração Pública.</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Além do até aqui exposto, o referido dispositivo testilha frontalmente com o contido no art. 87, inciso II, da Lei Orgânica do Município, cujo dispositivo prevê que ao Prefeito compete </w:t>
      </w:r>
      <w:r w:rsidRPr="001D686C">
        <w:rPr>
          <w:rFonts w:ascii="Arial" w:eastAsia="Calibri" w:hAnsi="Arial" w:cs="Arial"/>
          <w:b/>
          <w:bCs/>
          <w:sz w:val="20"/>
          <w:szCs w:val="20"/>
        </w:rPr>
        <w:t>“nomear e exonerar os Secretários</w:t>
      </w:r>
      <w:r w:rsidRPr="001D686C">
        <w:rPr>
          <w:rFonts w:ascii="Arial" w:eastAsia="Calibri" w:hAnsi="Arial" w:cs="Arial"/>
          <w:sz w:val="20"/>
          <w:szCs w:val="20"/>
        </w:rPr>
        <w:t> </w:t>
      </w:r>
      <w:r w:rsidRPr="001D686C">
        <w:rPr>
          <w:rFonts w:ascii="Arial" w:eastAsia="Calibri" w:hAnsi="Arial" w:cs="Arial"/>
          <w:b/>
          <w:bCs/>
          <w:sz w:val="20"/>
          <w:szCs w:val="20"/>
        </w:rPr>
        <w:t>Municipais…”</w:t>
      </w:r>
      <w:r w:rsidRPr="001D686C">
        <w:rPr>
          <w:rFonts w:ascii="Arial" w:eastAsia="Calibri" w:hAnsi="Arial" w:cs="Arial"/>
          <w:sz w:val="20"/>
          <w:szCs w:val="20"/>
        </w:rPr>
        <w:t>.</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Segue-se daí, em correta, </w:t>
      </w:r>
      <w:r w:rsidRPr="001D686C">
        <w:rPr>
          <w:rFonts w:ascii="Arial" w:eastAsia="Calibri" w:hAnsi="Arial" w:cs="Arial"/>
          <w:i/>
          <w:iCs/>
          <w:sz w:val="20"/>
          <w:szCs w:val="20"/>
        </w:rPr>
        <w:t xml:space="preserve">data </w:t>
      </w:r>
      <w:proofErr w:type="spellStart"/>
      <w:r w:rsidRPr="001D686C">
        <w:rPr>
          <w:rFonts w:ascii="Arial" w:eastAsia="Calibri" w:hAnsi="Arial" w:cs="Arial"/>
          <w:i/>
          <w:iCs/>
          <w:sz w:val="20"/>
          <w:szCs w:val="20"/>
        </w:rPr>
        <w:t>venia</w:t>
      </w:r>
      <w:proofErr w:type="spellEnd"/>
      <w:r w:rsidRPr="001D686C">
        <w:rPr>
          <w:rFonts w:ascii="Arial" w:eastAsia="Calibri" w:hAnsi="Arial" w:cs="Arial"/>
          <w:sz w:val="20"/>
          <w:szCs w:val="20"/>
        </w:rPr>
        <w:t>, interpretação sistemática do ordenamento jurídico local, à luz do cenário constitucional, que, para fins de alteração do quanto disposto no fragmento legal acima reportado mister se impunha um Projeto de Emenda à Lei Orgânica do Município e não um simples projeto de lei extravagante.</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É absurdo aduzir que a lei em comento não pretende regulamentar a forma de investidura no cargo, quando se tem nítido que a vedação que se quer impor interfere diretamente na prerrogativa legal e constitucional conferida ao Chefe do Executivo de escolher os Secretários Municipais.</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Rasguemos, então, a Lei Complementar 95/1998, já que os principais detentores da competência </w:t>
      </w:r>
      <w:proofErr w:type="spellStart"/>
      <w:r w:rsidRPr="001D686C">
        <w:rPr>
          <w:rFonts w:ascii="Arial" w:eastAsia="Calibri" w:hAnsi="Arial" w:cs="Arial"/>
          <w:sz w:val="20"/>
          <w:szCs w:val="20"/>
        </w:rPr>
        <w:t>legiferante</w:t>
      </w:r>
      <w:proofErr w:type="spellEnd"/>
      <w:r w:rsidRPr="001D686C">
        <w:rPr>
          <w:rFonts w:ascii="Arial" w:eastAsia="Calibri" w:hAnsi="Arial" w:cs="Arial"/>
          <w:sz w:val="20"/>
          <w:szCs w:val="20"/>
        </w:rPr>
        <w:t xml:space="preserve"> utilizam-se da “democracia” para escancaradamente ignorar a técnica legislativa</w:t>
      </w:r>
      <w:r w:rsidRPr="001D686C">
        <w:rPr>
          <w:rFonts w:ascii="Arial" w:eastAsia="Calibri" w:hAnsi="Arial" w:cs="Arial"/>
          <w:b/>
          <w:sz w:val="20"/>
          <w:szCs w:val="20"/>
        </w:rPr>
        <w:t>!</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Por fim, vale o registro de que o fato de o Poder Legislativo não estar sujeito ao efeito vinculante das decisões do STF exaradas em ações de controle abstrato de constitucionalidade não modifica a natureza da disposição, </w:t>
      </w:r>
      <w:r w:rsidRPr="001D686C">
        <w:rPr>
          <w:rFonts w:ascii="Arial" w:eastAsia="Calibri" w:hAnsi="Arial" w:cs="Arial"/>
          <w:sz w:val="20"/>
          <w:szCs w:val="20"/>
        </w:rPr>
        <w:lastRenderedPageBreak/>
        <w:t>que contraria não apenas o entendimento do STF, mas o próprio texto constitucional, uma vez que retira do Chefe do Poder Executivo ou Legislativo a prerrogativa de escolher sujeitos de sua extrema confiança para a atuação de cargos em comissão, motivo que se soma aos outros já expostos para fundamentar o presente veto.</w:t>
      </w:r>
    </w:p>
    <w:p w:rsidR="001D686C" w:rsidRPr="001D686C" w:rsidRDefault="001D686C" w:rsidP="001D686C">
      <w:pPr>
        <w:spacing w:line="360" w:lineRule="auto"/>
        <w:ind w:left="1560" w:firstLine="1134"/>
        <w:jc w:val="both"/>
        <w:rPr>
          <w:rFonts w:ascii="Arial" w:eastAsia="Calibri" w:hAnsi="Arial" w:cs="Arial"/>
          <w:sz w:val="20"/>
          <w:szCs w:val="20"/>
        </w:rPr>
      </w:pPr>
      <w:r w:rsidRPr="001D686C">
        <w:rPr>
          <w:rFonts w:ascii="Arial" w:eastAsia="Calibri" w:hAnsi="Arial" w:cs="Arial"/>
          <w:sz w:val="20"/>
          <w:szCs w:val="20"/>
        </w:rPr>
        <w:tab/>
      </w:r>
    </w:p>
    <w:p w:rsidR="001D686C" w:rsidRPr="001D686C" w:rsidRDefault="001D686C" w:rsidP="001D686C">
      <w:pPr>
        <w:pStyle w:val="PargrafodaLista"/>
        <w:numPr>
          <w:ilvl w:val="0"/>
          <w:numId w:val="3"/>
        </w:numPr>
        <w:tabs>
          <w:tab w:val="left" w:pos="1134"/>
          <w:tab w:val="left" w:pos="1418"/>
        </w:tabs>
        <w:spacing w:after="120" w:line="360" w:lineRule="auto"/>
        <w:ind w:left="1560"/>
        <w:jc w:val="both"/>
        <w:rPr>
          <w:rFonts w:ascii="Arial" w:hAnsi="Arial" w:cs="Arial"/>
          <w:b/>
          <w:sz w:val="20"/>
          <w:szCs w:val="20"/>
        </w:rPr>
      </w:pPr>
      <w:r w:rsidRPr="001D686C">
        <w:rPr>
          <w:rFonts w:ascii="Arial" w:hAnsi="Arial" w:cs="Arial"/>
          <w:b/>
          <w:sz w:val="20"/>
          <w:szCs w:val="20"/>
        </w:rPr>
        <w:t>Invasão ao limite de competência para legislar sobre normas gerais</w:t>
      </w:r>
    </w:p>
    <w:p w:rsidR="001D686C" w:rsidRPr="001D686C" w:rsidRDefault="001D686C" w:rsidP="001D686C">
      <w:pPr>
        <w:tabs>
          <w:tab w:val="left" w:pos="1134"/>
        </w:tabs>
        <w:spacing w:after="120" w:line="360" w:lineRule="auto"/>
        <w:ind w:left="1560" w:firstLine="1134"/>
        <w:jc w:val="both"/>
        <w:rPr>
          <w:rFonts w:ascii="Arial" w:hAnsi="Arial" w:cs="Arial"/>
          <w:sz w:val="20"/>
          <w:szCs w:val="20"/>
        </w:rPr>
      </w:pPr>
      <w:r w:rsidRPr="001D686C">
        <w:rPr>
          <w:rFonts w:ascii="Arial" w:hAnsi="Arial" w:cs="Arial"/>
          <w:sz w:val="20"/>
          <w:szCs w:val="20"/>
        </w:rPr>
        <w:t>Prevê o art. 2º, inc. V, do Projeto de Lei de iniciativa do Poder Legislativo nº 08, de 17 de junho de 2015, que constitui prática de nepotismo, dentre outras:</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 xml:space="preserve">V - </w:t>
      </w:r>
      <w:proofErr w:type="gramStart"/>
      <w:r w:rsidRPr="001D686C">
        <w:rPr>
          <w:rFonts w:ascii="Arial" w:hAnsi="Arial" w:cs="Arial"/>
          <w:i/>
          <w:sz w:val="20"/>
          <w:szCs w:val="20"/>
        </w:rPr>
        <w:t>a</w:t>
      </w:r>
      <w:proofErr w:type="gramEnd"/>
      <w:r w:rsidRPr="001D686C">
        <w:rPr>
          <w:rFonts w:ascii="Arial" w:hAnsi="Arial" w:cs="Arial"/>
          <w:i/>
          <w:sz w:val="20"/>
          <w:szCs w:val="20"/>
        </w:rPr>
        <w:t xml:space="preserve"> contratação, em casos excepcionais de dispensa ou inexigibilidade de licitação, de pessoa jurídica da qual sejam sócios cônjuge, companheiro ou parente em linha reta, colateral, por afinidade e por adoção, até o segundo grau, inclusive do Prefeito, Vice-Prefeito, Presidente da Câmara Municipal e Vereadores;</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Com base na técnica de repartição vertical de competência, a Constituição Federal, no art. 22, inc. XXVII, preconiza que caberá à União definir as normas gerais sobre licitação e contratos administrativos, permitindo, por outro lado, aos demais entes federativos legislar sobre normas específicas de acordo com as suas particularidades.</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A despeito da inexistência de um critério preciso para a caracterização de "norma geral" e "norma específica", é possível depreender, a partir da análise jurisprudencial e doutrinária, que enquadrarem-se como "normas gerais" os princípios, os fundamentos e as diretrizes conformadoras do regime licitatório no Brasil.</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Com o fito de subsidiar a fundamentação do veto imposto ao art. 2º, inc. V, e buscando apresentar uma linha de definição entre "norma geral" e "norma específica", transcrevem-se as elucidativas palavras de Celso Antônio Bandeira de Mello, que, dentre outras, reputa serem "normas específicas" aquelas concernentes à definição de valores, prazos e requisitos de publicidade (art. 21), a regulamentação sobre registros cadastrais (</w:t>
      </w:r>
      <w:proofErr w:type="spellStart"/>
      <w:r w:rsidRPr="001D686C">
        <w:rPr>
          <w:rFonts w:ascii="Arial" w:hAnsi="Arial" w:cs="Arial"/>
          <w:sz w:val="20"/>
          <w:szCs w:val="20"/>
        </w:rPr>
        <w:t>arts</w:t>
      </w:r>
      <w:proofErr w:type="spellEnd"/>
      <w:r w:rsidRPr="001D686C">
        <w:rPr>
          <w:rFonts w:ascii="Arial" w:hAnsi="Arial" w:cs="Arial"/>
          <w:sz w:val="20"/>
          <w:szCs w:val="20"/>
        </w:rPr>
        <w:t>. 34 a 37), o arrolamento exaustivo de recursos cabíveis e os prazos de interposição (art. 109), o estabelecimento dos documentos exigíveis de licitantes (</w:t>
      </w:r>
      <w:proofErr w:type="spellStart"/>
      <w:r w:rsidRPr="001D686C">
        <w:rPr>
          <w:rFonts w:ascii="Arial" w:hAnsi="Arial" w:cs="Arial"/>
          <w:sz w:val="20"/>
          <w:szCs w:val="20"/>
        </w:rPr>
        <w:t>arts</w:t>
      </w:r>
      <w:proofErr w:type="spellEnd"/>
      <w:r w:rsidRPr="001D686C">
        <w:rPr>
          <w:rFonts w:ascii="Arial" w:hAnsi="Arial" w:cs="Arial"/>
          <w:sz w:val="20"/>
          <w:szCs w:val="20"/>
        </w:rPr>
        <w:t>. 27 a 33), os casos de dispensa de licitação (art. 24) e a especificação dos tipos e o </w:t>
      </w:r>
      <w:r w:rsidRPr="001D686C">
        <w:rPr>
          <w:rFonts w:ascii="Arial" w:hAnsi="Arial" w:cs="Arial"/>
          <w:i/>
          <w:iCs/>
          <w:sz w:val="20"/>
          <w:szCs w:val="20"/>
        </w:rPr>
        <w:t>iter</w:t>
      </w:r>
      <w:r w:rsidRPr="001D686C">
        <w:rPr>
          <w:rFonts w:ascii="Arial" w:hAnsi="Arial" w:cs="Arial"/>
          <w:sz w:val="20"/>
          <w:szCs w:val="20"/>
        </w:rPr>
        <w:t> procedimental dos procedimentos licitatórios (art. 45).</w:t>
      </w:r>
      <w:r w:rsidRPr="001D686C">
        <w:rPr>
          <w:rStyle w:val="Refdenotaderodap"/>
          <w:rFonts w:ascii="Arial" w:hAnsi="Arial" w:cs="Arial"/>
          <w:sz w:val="20"/>
          <w:szCs w:val="20"/>
        </w:rPr>
        <w:footnoteReference w:id="1"/>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 xml:space="preserve">Por outro lado, impõe transcrever o entendimento de Marçal </w:t>
      </w:r>
      <w:proofErr w:type="spellStart"/>
      <w:r w:rsidRPr="001D686C">
        <w:rPr>
          <w:rFonts w:ascii="Arial" w:hAnsi="Arial" w:cs="Arial"/>
          <w:sz w:val="20"/>
          <w:szCs w:val="20"/>
        </w:rPr>
        <w:t>Justen</w:t>
      </w:r>
      <w:proofErr w:type="spellEnd"/>
      <w:r w:rsidRPr="001D686C">
        <w:rPr>
          <w:rFonts w:ascii="Arial" w:hAnsi="Arial" w:cs="Arial"/>
          <w:sz w:val="20"/>
          <w:szCs w:val="20"/>
        </w:rPr>
        <w:t xml:space="preserve"> Filho sobre os temas enquadráveis no conceito de "normas gerais", </w:t>
      </w:r>
      <w:r w:rsidRPr="001D686C">
        <w:rPr>
          <w:rFonts w:ascii="Arial" w:hAnsi="Arial" w:cs="Arial"/>
          <w:i/>
          <w:iCs/>
          <w:sz w:val="20"/>
          <w:szCs w:val="20"/>
        </w:rPr>
        <w:t xml:space="preserve">in </w:t>
      </w:r>
      <w:proofErr w:type="spellStart"/>
      <w:r w:rsidRPr="001D686C">
        <w:rPr>
          <w:rFonts w:ascii="Arial" w:hAnsi="Arial" w:cs="Arial"/>
          <w:i/>
          <w:iCs/>
          <w:sz w:val="20"/>
          <w:szCs w:val="20"/>
        </w:rPr>
        <w:t>verbis</w:t>
      </w:r>
      <w:proofErr w:type="spellEnd"/>
      <w:r w:rsidRPr="001D686C">
        <w:rPr>
          <w:rFonts w:ascii="Arial" w:hAnsi="Arial" w:cs="Arial"/>
          <w:sz w:val="20"/>
          <w:szCs w:val="20"/>
        </w:rPr>
        <w:t>:</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lastRenderedPageBreak/>
        <w:t>[...] pode-se afirmar que norma geral sobre licitação e contratação administrativa é um conceito jurídico indeterminado cujo núcleo de certeza positiva compreende a disciplina imposta pela União e de observância obrigatória por todos os entes federados (inclusive da Administração indireta), atinente à disciplina de:</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a) requisitos mínimos necessários e indispensáveis à validade da contratação administrativa;</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b) hipóteses de obrigatoriedade e de não obrigatoriedade de licitação;</w:t>
      </w:r>
    </w:p>
    <w:p w:rsidR="001D686C" w:rsidRPr="001D686C" w:rsidRDefault="001D686C" w:rsidP="001D686C">
      <w:pPr>
        <w:spacing w:line="360" w:lineRule="auto"/>
        <w:ind w:left="1560"/>
        <w:jc w:val="both"/>
        <w:rPr>
          <w:rFonts w:ascii="Arial" w:hAnsi="Arial" w:cs="Arial"/>
          <w:b/>
          <w:i/>
          <w:sz w:val="20"/>
          <w:szCs w:val="20"/>
        </w:rPr>
      </w:pPr>
      <w:r w:rsidRPr="001D686C">
        <w:rPr>
          <w:rFonts w:ascii="Arial" w:hAnsi="Arial" w:cs="Arial"/>
          <w:b/>
          <w:i/>
          <w:sz w:val="20"/>
          <w:szCs w:val="20"/>
        </w:rPr>
        <w:t>c) requisitos de participação em licitação;</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d) modalidade de licitação;</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e) tipo de licitação;</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f) regime jurídico da contratação administrativa. (grifei)</w:t>
      </w:r>
      <w:r w:rsidRPr="001D686C">
        <w:rPr>
          <w:rStyle w:val="Refdenotaderodap"/>
          <w:rFonts w:ascii="Arial" w:hAnsi="Arial" w:cs="Arial"/>
          <w:i/>
          <w:sz w:val="20"/>
          <w:szCs w:val="20"/>
        </w:rPr>
        <w:footnoteReference w:id="2"/>
      </w:r>
    </w:p>
    <w:p w:rsidR="001D686C" w:rsidRPr="001D686C" w:rsidRDefault="001D686C" w:rsidP="001D686C">
      <w:pPr>
        <w:spacing w:line="360" w:lineRule="auto"/>
        <w:ind w:left="1560" w:firstLine="1134"/>
        <w:jc w:val="both"/>
        <w:rPr>
          <w:rFonts w:ascii="Arial" w:hAnsi="Arial" w:cs="Arial"/>
          <w:sz w:val="20"/>
          <w:szCs w:val="20"/>
        </w:rPr>
      </w:pPr>
    </w:p>
    <w:p w:rsidR="001D686C" w:rsidRPr="001D686C" w:rsidRDefault="001D686C" w:rsidP="001D686C">
      <w:pPr>
        <w:spacing w:line="360" w:lineRule="auto"/>
        <w:ind w:left="1560" w:firstLine="1134"/>
        <w:jc w:val="both"/>
        <w:rPr>
          <w:rFonts w:ascii="Arial" w:hAnsi="Arial" w:cs="Arial"/>
          <w:b/>
          <w:sz w:val="20"/>
          <w:szCs w:val="20"/>
        </w:rPr>
      </w:pPr>
      <w:r w:rsidRPr="001D686C">
        <w:rPr>
          <w:rFonts w:ascii="Arial" w:hAnsi="Arial" w:cs="Arial"/>
          <w:sz w:val="20"/>
          <w:szCs w:val="20"/>
        </w:rPr>
        <w:t>Em precedente destacável, o STF, no julgamento da ADI nº 3.059 (MC)</w:t>
      </w:r>
      <w:r w:rsidRPr="001D686C">
        <w:rPr>
          <w:rStyle w:val="Refdenotaderodap"/>
          <w:rFonts w:ascii="Arial" w:hAnsi="Arial" w:cs="Arial"/>
          <w:sz w:val="20"/>
          <w:szCs w:val="20"/>
        </w:rPr>
        <w:footnoteReference w:id="3"/>
      </w:r>
      <w:r w:rsidRPr="001D686C">
        <w:rPr>
          <w:rFonts w:ascii="Arial" w:hAnsi="Arial" w:cs="Arial"/>
          <w:sz w:val="20"/>
          <w:szCs w:val="20"/>
        </w:rPr>
        <w:t>, consignou que</w:t>
      </w:r>
      <w:r w:rsidRPr="001D686C">
        <w:rPr>
          <w:rFonts w:ascii="Arial" w:hAnsi="Arial" w:cs="Arial"/>
          <w:b/>
          <w:sz w:val="20"/>
          <w:szCs w:val="20"/>
        </w:rPr>
        <w:t xml:space="preserve"> toda e qualquer instituição de tratamento diferenciado de concorrência, ainda que sob o pálio de ações afirmativas e de incentivos </w:t>
      </w:r>
      <w:proofErr w:type="spellStart"/>
      <w:r w:rsidRPr="001D686C">
        <w:rPr>
          <w:rFonts w:ascii="Arial" w:hAnsi="Arial" w:cs="Arial"/>
          <w:b/>
          <w:sz w:val="20"/>
          <w:szCs w:val="20"/>
        </w:rPr>
        <w:t>finalisticamente</w:t>
      </w:r>
      <w:proofErr w:type="spellEnd"/>
      <w:r w:rsidRPr="001D686C">
        <w:rPr>
          <w:rFonts w:ascii="Arial" w:hAnsi="Arial" w:cs="Arial"/>
          <w:b/>
          <w:sz w:val="20"/>
          <w:szCs w:val="20"/>
        </w:rPr>
        <w:t xml:space="preserve"> louváveis, só poderão ser implementadas por lei da União.</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Seguindo tal entendimento, a Suprema Corte na ADI nº 3.158-9</w:t>
      </w:r>
      <w:r w:rsidRPr="001D686C">
        <w:rPr>
          <w:rStyle w:val="Refdenotaderodap"/>
          <w:rFonts w:ascii="Arial" w:hAnsi="Arial" w:cs="Arial"/>
          <w:sz w:val="20"/>
          <w:szCs w:val="20"/>
        </w:rPr>
        <w:footnoteReference w:id="4"/>
      </w:r>
      <w:r w:rsidRPr="001D686C">
        <w:rPr>
          <w:rFonts w:ascii="Arial" w:hAnsi="Arial" w:cs="Arial"/>
          <w:sz w:val="20"/>
          <w:szCs w:val="20"/>
        </w:rPr>
        <w:t> consignou que o art. 9º da Lei nº 8.666/93 que estabelece as hipóteses de impedimento de participação na licitação "</w:t>
      </w:r>
      <w:r w:rsidRPr="001D686C">
        <w:rPr>
          <w:rFonts w:ascii="Arial" w:hAnsi="Arial" w:cs="Arial"/>
          <w:i/>
          <w:iCs/>
          <w:sz w:val="20"/>
          <w:szCs w:val="20"/>
        </w:rPr>
        <w:t>é dotado de caráter geral, visto que confere concreção aos princípios da moralidade e da isonomia</w:t>
      </w:r>
      <w:r w:rsidRPr="001D686C">
        <w:rPr>
          <w:rFonts w:ascii="Arial" w:hAnsi="Arial" w:cs="Arial"/>
          <w:sz w:val="20"/>
          <w:szCs w:val="20"/>
        </w:rPr>
        <w:t>".</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ab/>
        <w:t>Com efeito, os Estados e Municípios poderão inovar naqueles aspectos específicos dos procedimentos licitatórios, desde que não haja infração direta ou indireta a preceito básico contido na Lei nº 8.666/93, razão pela qual a pretensão de regulamentação das condições de participação no certame inserida no art. 2º, inc. II, é inconstitucional.</w:t>
      </w:r>
    </w:p>
    <w:p w:rsidR="001D686C" w:rsidRPr="001D686C" w:rsidRDefault="001D686C" w:rsidP="001D686C">
      <w:pPr>
        <w:spacing w:line="360" w:lineRule="auto"/>
        <w:ind w:left="1560" w:firstLine="1134"/>
        <w:jc w:val="both"/>
        <w:rPr>
          <w:rFonts w:ascii="Arial" w:hAnsi="Arial" w:cs="Arial"/>
          <w:sz w:val="20"/>
          <w:szCs w:val="20"/>
        </w:rPr>
      </w:pPr>
    </w:p>
    <w:p w:rsidR="001D686C" w:rsidRPr="001D686C" w:rsidRDefault="001D686C" w:rsidP="001D686C">
      <w:pPr>
        <w:numPr>
          <w:ilvl w:val="0"/>
          <w:numId w:val="3"/>
        </w:numPr>
        <w:tabs>
          <w:tab w:val="left" w:pos="1134"/>
          <w:tab w:val="left" w:pos="1418"/>
        </w:tabs>
        <w:spacing w:after="120" w:line="360" w:lineRule="auto"/>
        <w:ind w:left="1560" w:hanging="357"/>
        <w:jc w:val="both"/>
        <w:rPr>
          <w:rFonts w:ascii="Arial" w:hAnsi="Arial" w:cs="Arial"/>
          <w:b/>
          <w:sz w:val="20"/>
          <w:szCs w:val="20"/>
        </w:rPr>
      </w:pPr>
      <w:r w:rsidRPr="001D686C">
        <w:rPr>
          <w:rFonts w:ascii="Arial" w:hAnsi="Arial" w:cs="Arial"/>
          <w:b/>
          <w:sz w:val="20"/>
          <w:szCs w:val="20"/>
        </w:rPr>
        <w:t>Vedação de contratação de estagiário com grau de parentesco, inclusive se precedido de processo seletivo simplificado</w:t>
      </w:r>
    </w:p>
    <w:p w:rsidR="001D686C" w:rsidRPr="001D686C" w:rsidRDefault="001D686C" w:rsidP="001D686C">
      <w:pPr>
        <w:tabs>
          <w:tab w:val="left" w:pos="1134"/>
        </w:tabs>
        <w:spacing w:after="120" w:line="360" w:lineRule="auto"/>
        <w:ind w:left="1560" w:firstLine="1134"/>
        <w:jc w:val="both"/>
        <w:rPr>
          <w:rFonts w:ascii="Arial" w:hAnsi="Arial" w:cs="Arial"/>
          <w:sz w:val="20"/>
          <w:szCs w:val="20"/>
        </w:rPr>
      </w:pPr>
      <w:r w:rsidRPr="001D686C">
        <w:rPr>
          <w:rFonts w:ascii="Arial" w:hAnsi="Arial" w:cs="Arial"/>
          <w:sz w:val="20"/>
          <w:szCs w:val="20"/>
        </w:rPr>
        <w:t>Prevê o art. 2º, inc. VI, do Projeto de Lei de iniciativa do Poder Legislativo nº 08, de 17 de junho de 2015, que constitui prática de nepotismo, dentre outras:</w:t>
      </w:r>
    </w:p>
    <w:p w:rsidR="001D686C" w:rsidRPr="001D686C" w:rsidRDefault="001D686C" w:rsidP="001D686C">
      <w:pPr>
        <w:spacing w:line="360" w:lineRule="auto"/>
        <w:ind w:left="1560"/>
        <w:jc w:val="both"/>
        <w:rPr>
          <w:rFonts w:ascii="Arial" w:hAnsi="Arial" w:cs="Arial"/>
          <w:i/>
          <w:sz w:val="20"/>
          <w:szCs w:val="20"/>
        </w:rPr>
      </w:pPr>
      <w:r w:rsidRPr="001D686C">
        <w:rPr>
          <w:rFonts w:ascii="Arial" w:hAnsi="Arial" w:cs="Arial"/>
          <w:i/>
          <w:sz w:val="20"/>
          <w:szCs w:val="20"/>
        </w:rPr>
        <w:t xml:space="preserve">VI - A contratação de estagiários por cônjuge, companheiro ou parente em linha reta e/ ou colateral, até o segundo grau, inclusive do Prefeito, Vice-Prefeito, </w:t>
      </w:r>
      <w:r w:rsidRPr="001D686C">
        <w:rPr>
          <w:rFonts w:ascii="Arial" w:hAnsi="Arial" w:cs="Arial"/>
          <w:i/>
          <w:sz w:val="20"/>
          <w:szCs w:val="20"/>
        </w:rPr>
        <w:lastRenderedPageBreak/>
        <w:t>Presidente da Câmara Municipal e Vereadores, excetuando-se a contratação de estagiários com exclusiva finalidade curricular.</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 xml:space="preserve">Peca o dispositivo por não ter previsto a exceção sugerida pela Orientação Técnica da Procuradora Jurídica da Câmara Municipal, pela Emenda Supressiva proposta pelo Vereador Pedro Ricardo </w:t>
      </w:r>
      <w:proofErr w:type="spellStart"/>
      <w:r w:rsidRPr="001D686C">
        <w:rPr>
          <w:rFonts w:ascii="Arial" w:hAnsi="Arial" w:cs="Arial"/>
          <w:sz w:val="20"/>
          <w:szCs w:val="20"/>
        </w:rPr>
        <w:t>Jahn</w:t>
      </w:r>
      <w:proofErr w:type="spellEnd"/>
      <w:r w:rsidRPr="001D686C">
        <w:rPr>
          <w:rFonts w:ascii="Arial" w:hAnsi="Arial" w:cs="Arial"/>
          <w:sz w:val="20"/>
          <w:szCs w:val="20"/>
        </w:rPr>
        <w:t xml:space="preserve"> e pelo parecer exarado pela Comissão de Constituição, Redação e Bem-Estar Social, quanto a excepcionar a contratação de estagiário precedida de regular processo seletivo que assegure o princípio da isonomia entre os concorrentes, assim como ocorreu no art. 2º, §2º, em relação aos contratos temporários.</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 xml:space="preserve">Não há razão para aplicar a Lei Municipal na contratação de estagiários que resulte de processo de seleção que seja convocado por edital público e que inclua pelo menos uma prova escrita não-identificada, o que já é feito no Município há, pelo menos, 3 anos. </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Nessas hipóteses, o ingresso do estagiário por um exame baseado no mérito e cego à sua condição de parente de Prefeito, Vice-Prefeito, Presidente da Câmara Municipal e Vereadores é suficiente para afastar a aplicação da Lei Municipal, não havendo que se falar em ofensa ao princípio da moralidade.</w:t>
      </w:r>
    </w:p>
    <w:p w:rsidR="001D686C" w:rsidRPr="001D686C" w:rsidRDefault="001D686C" w:rsidP="001D686C">
      <w:pPr>
        <w:spacing w:line="360" w:lineRule="auto"/>
        <w:ind w:left="1560" w:firstLine="1134"/>
        <w:jc w:val="both"/>
        <w:rPr>
          <w:rFonts w:ascii="Arial" w:hAnsi="Arial" w:cs="Arial"/>
          <w:sz w:val="20"/>
          <w:szCs w:val="20"/>
        </w:rPr>
      </w:pPr>
      <w:r w:rsidRPr="001D686C">
        <w:rPr>
          <w:rFonts w:ascii="Arial" w:hAnsi="Arial" w:cs="Arial"/>
          <w:sz w:val="20"/>
          <w:szCs w:val="20"/>
        </w:rPr>
        <w:t>Logo, tendo em vista que as indicações de melhoria na redação do dispositivo foram sumariamente ignoradas, o mesmo deve ser vetado, por exceder significativamente os limites da finalidade a que se destina.</w:t>
      </w:r>
    </w:p>
    <w:p w:rsidR="001D686C" w:rsidRPr="001D686C" w:rsidRDefault="001D686C" w:rsidP="001D686C">
      <w:pPr>
        <w:spacing w:line="360" w:lineRule="auto"/>
        <w:ind w:left="1560" w:firstLine="1134"/>
        <w:jc w:val="both"/>
        <w:rPr>
          <w:rFonts w:ascii="Arial" w:hAnsi="Arial" w:cs="Arial"/>
          <w:sz w:val="20"/>
          <w:szCs w:val="20"/>
        </w:rPr>
      </w:pPr>
    </w:p>
    <w:p w:rsidR="001D686C" w:rsidRPr="001D686C" w:rsidRDefault="001D686C" w:rsidP="001D686C">
      <w:pPr>
        <w:numPr>
          <w:ilvl w:val="0"/>
          <w:numId w:val="3"/>
        </w:numPr>
        <w:tabs>
          <w:tab w:val="left" w:pos="1134"/>
          <w:tab w:val="left" w:pos="1418"/>
        </w:tabs>
        <w:spacing w:after="120" w:line="360" w:lineRule="auto"/>
        <w:ind w:left="1560" w:hanging="357"/>
        <w:jc w:val="both"/>
        <w:rPr>
          <w:rFonts w:ascii="Arial" w:hAnsi="Arial" w:cs="Arial"/>
          <w:b/>
          <w:sz w:val="20"/>
          <w:szCs w:val="20"/>
        </w:rPr>
      </w:pPr>
      <w:r w:rsidRPr="001D686C">
        <w:rPr>
          <w:rFonts w:ascii="Arial" w:hAnsi="Arial" w:cs="Arial"/>
          <w:b/>
          <w:sz w:val="20"/>
          <w:szCs w:val="20"/>
        </w:rPr>
        <w:t>Redação ininteligível e contraditória que inviabiliza a aplicação</w:t>
      </w:r>
    </w:p>
    <w:p w:rsidR="001D686C" w:rsidRPr="001D686C" w:rsidRDefault="001D686C" w:rsidP="001D686C">
      <w:pPr>
        <w:tabs>
          <w:tab w:val="left" w:pos="1134"/>
        </w:tabs>
        <w:spacing w:after="120" w:line="360" w:lineRule="auto"/>
        <w:ind w:left="1560" w:firstLine="1134"/>
        <w:jc w:val="both"/>
        <w:rPr>
          <w:rFonts w:ascii="Arial" w:hAnsi="Arial" w:cs="Arial"/>
          <w:sz w:val="20"/>
          <w:szCs w:val="20"/>
        </w:rPr>
      </w:pPr>
      <w:r w:rsidRPr="001D686C">
        <w:rPr>
          <w:rFonts w:ascii="Arial" w:hAnsi="Arial" w:cs="Arial"/>
          <w:sz w:val="20"/>
          <w:szCs w:val="20"/>
        </w:rPr>
        <w:t>Prevê o art. 2º, §1º, do Projeto de Lei de iniciativa do Poder Legislativo nº 08, de 17 de junho de 2015, que:</w:t>
      </w:r>
    </w:p>
    <w:p w:rsidR="001D686C" w:rsidRPr="001D686C" w:rsidRDefault="001D686C" w:rsidP="001D686C">
      <w:pPr>
        <w:spacing w:line="360" w:lineRule="auto"/>
        <w:ind w:left="1560"/>
        <w:jc w:val="both"/>
        <w:rPr>
          <w:rFonts w:ascii="Arial" w:hAnsi="Arial" w:cs="Arial"/>
          <w:i/>
          <w:sz w:val="20"/>
          <w:szCs w:val="20"/>
        </w:rPr>
      </w:pPr>
      <w:r w:rsidRPr="001D686C">
        <w:rPr>
          <w:rFonts w:ascii="Arial" w:eastAsia="Calibri" w:hAnsi="Arial" w:cs="Arial"/>
          <w:i/>
          <w:sz w:val="20"/>
          <w:szCs w:val="20"/>
        </w:rPr>
        <w:t>§ 1º Ficam excepcionadas, nas hipóteses dos incisos I, II e III deste artigo, as nomeações ou designações de servidores ocupantes de cargo de provimento efetivo, admitidos por concurso público, observada a compatibilidade do grau de escolaridade do cargo de origem, a qualificação profissional do servidor e a complexidade inerente ao cargo em comissão a ser exercido, vedada, em qualquer caso a nomeação ou designação para servir subordinado ao agente político ou servidor determinante da incompatibilidade.</w:t>
      </w:r>
    </w:p>
    <w:p w:rsidR="001D686C" w:rsidRPr="001D686C" w:rsidRDefault="001D686C" w:rsidP="001D686C">
      <w:pPr>
        <w:tabs>
          <w:tab w:val="left" w:pos="1134"/>
        </w:tabs>
        <w:spacing w:before="120" w:line="360" w:lineRule="auto"/>
        <w:ind w:left="1560" w:firstLine="1134"/>
        <w:jc w:val="both"/>
        <w:rPr>
          <w:rFonts w:ascii="Arial" w:eastAsia="Calibri" w:hAnsi="Arial" w:cs="Arial"/>
          <w:sz w:val="20"/>
          <w:szCs w:val="20"/>
        </w:rPr>
      </w:pPr>
      <w:r w:rsidRPr="001D686C">
        <w:rPr>
          <w:rFonts w:ascii="Arial" w:eastAsia="Calibri" w:hAnsi="Arial" w:cs="Arial"/>
          <w:sz w:val="20"/>
          <w:szCs w:val="20"/>
        </w:rPr>
        <w:t xml:space="preserve">Na primeira parte, o dispositivo pretende excepcionar eventual caracterização de nepotismo quando nomeado for ocupante de </w:t>
      </w:r>
      <w:r w:rsidRPr="001D686C">
        <w:rPr>
          <w:rFonts w:ascii="Arial" w:eastAsia="Calibri" w:hAnsi="Arial" w:cs="Arial"/>
          <w:sz w:val="20"/>
          <w:szCs w:val="20"/>
          <w:u w:val="single"/>
        </w:rPr>
        <w:t>cargo efetivo, admitido através de concurso público</w:t>
      </w:r>
      <w:r w:rsidRPr="001D686C">
        <w:rPr>
          <w:rFonts w:ascii="Arial" w:eastAsia="Calibri" w:hAnsi="Arial" w:cs="Arial"/>
          <w:sz w:val="20"/>
          <w:szCs w:val="20"/>
        </w:rPr>
        <w:t xml:space="preserve">. Falha a redação, no entanto, ao prever que, nesses casos, o servidor, além de ser efetivo, deve observar outras condicionantes </w:t>
      </w:r>
      <w:r w:rsidRPr="001D686C">
        <w:rPr>
          <w:rFonts w:ascii="Arial" w:eastAsia="Calibri" w:hAnsi="Arial" w:cs="Arial"/>
          <w:sz w:val="20"/>
          <w:szCs w:val="20"/>
          <w:u w:val="single"/>
        </w:rPr>
        <w:t>inerentes ao cargo em comissão a ser exercido</w:t>
      </w:r>
      <w:r w:rsidRPr="001D686C">
        <w:rPr>
          <w:rFonts w:ascii="Arial" w:eastAsia="Calibri" w:hAnsi="Arial" w:cs="Arial"/>
          <w:sz w:val="20"/>
          <w:szCs w:val="20"/>
        </w:rPr>
        <w:t>.</w:t>
      </w:r>
    </w:p>
    <w:p w:rsidR="001D686C" w:rsidRPr="001D686C" w:rsidRDefault="001D686C" w:rsidP="001D686C">
      <w:pPr>
        <w:tabs>
          <w:tab w:val="left" w:pos="1134"/>
        </w:tabs>
        <w:spacing w:before="120" w:line="360" w:lineRule="auto"/>
        <w:ind w:left="1560" w:firstLine="1134"/>
        <w:jc w:val="both"/>
        <w:rPr>
          <w:rFonts w:ascii="Arial" w:eastAsia="Calibri" w:hAnsi="Arial" w:cs="Arial"/>
          <w:sz w:val="20"/>
          <w:szCs w:val="20"/>
        </w:rPr>
      </w:pPr>
      <w:r w:rsidRPr="001D686C">
        <w:rPr>
          <w:rFonts w:ascii="Arial" w:eastAsia="Calibri" w:hAnsi="Arial" w:cs="Arial"/>
          <w:sz w:val="20"/>
          <w:szCs w:val="20"/>
        </w:rPr>
        <w:t>Evidente, pois, a impropriedade que reside no dispositivo: exercício de cargo em comissão por servidor efetivo.</w:t>
      </w:r>
    </w:p>
    <w:p w:rsidR="001D686C" w:rsidRPr="001D686C" w:rsidRDefault="001D686C" w:rsidP="001D686C">
      <w:pPr>
        <w:tabs>
          <w:tab w:val="left" w:pos="1134"/>
        </w:tabs>
        <w:spacing w:before="120" w:line="360" w:lineRule="auto"/>
        <w:ind w:left="1560" w:firstLine="1134"/>
        <w:jc w:val="both"/>
        <w:rPr>
          <w:rFonts w:ascii="Arial" w:eastAsia="Calibri" w:hAnsi="Arial" w:cs="Arial"/>
          <w:b/>
          <w:sz w:val="20"/>
          <w:szCs w:val="20"/>
        </w:rPr>
      </w:pPr>
      <w:r w:rsidRPr="001D686C">
        <w:rPr>
          <w:rFonts w:ascii="Arial" w:eastAsia="Calibri" w:hAnsi="Arial" w:cs="Arial"/>
          <w:sz w:val="20"/>
          <w:szCs w:val="20"/>
        </w:rPr>
        <w:lastRenderedPageBreak/>
        <w:t xml:space="preserve">É sabido que o cargo em comissão pode ser preenchido por qualquer pessoa, mesmo que não sejam ocupantes de qualquer posto na Administração. De outro lado, </w:t>
      </w:r>
      <w:r w:rsidRPr="001D686C">
        <w:rPr>
          <w:rFonts w:ascii="Arial" w:eastAsia="Calibri" w:hAnsi="Arial" w:cs="Arial"/>
          <w:b/>
          <w:sz w:val="20"/>
          <w:szCs w:val="20"/>
        </w:rPr>
        <w:t xml:space="preserve">função de confiança somente deve ser atribuída àquele que já é ocupante de um posto na Administração. </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 xml:space="preserve">A razão disso é simples. No cargo em comissão é atribuído POSTO ATRIBUIÇÕES RESPONSABILIDADE àquele que irá ocupá-lo. Na função de confiança somente são conferidas ATRIBUIÇÕES RESPONSABILIDADE. </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Assim, pelo fato da função de confiança não atribuir posto num dos quadros da Administração Pública, mas tão somente atribuições e responsabilidades, só deve ser conferida àquele que já o possui. Assim, só servidores ocupantes de cargos efetivos podem ter função de confiança.</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De outro lado, considerando que, além de atribuições e responsabilidade, o cargo em comissão confere posto num dos quadros da Administração Pública, este poderá ser conferido a qualquer particular, não precisando ser agente público. </w:t>
      </w:r>
      <w:r w:rsidRPr="001D686C">
        <w:rPr>
          <w:rFonts w:ascii="Arial" w:hAnsi="Arial" w:cs="Arial"/>
          <w:sz w:val="20"/>
          <w:szCs w:val="20"/>
        </w:rPr>
        <w:br/>
      </w:r>
      <w:r w:rsidRPr="001D686C">
        <w:rPr>
          <w:rFonts w:ascii="Arial" w:hAnsi="Arial" w:cs="Arial"/>
          <w:sz w:val="20"/>
          <w:szCs w:val="20"/>
        </w:rPr>
        <w:tab/>
        <w:t xml:space="preserve">Na segunda parte, o dispositivo excepciona a exceção ao vedar a nomeação/designação para servir subordinado ao agente político ou servidor determinante da incompatibilidade, o que torna inócuo o </w:t>
      </w:r>
      <w:proofErr w:type="spellStart"/>
      <w:r w:rsidRPr="001D686C">
        <w:rPr>
          <w:rFonts w:ascii="Arial" w:hAnsi="Arial" w:cs="Arial"/>
          <w:sz w:val="20"/>
          <w:szCs w:val="20"/>
        </w:rPr>
        <w:t>disposito</w:t>
      </w:r>
      <w:proofErr w:type="spellEnd"/>
      <w:r w:rsidRPr="001D686C">
        <w:rPr>
          <w:rFonts w:ascii="Arial" w:hAnsi="Arial" w:cs="Arial"/>
          <w:sz w:val="20"/>
          <w:szCs w:val="20"/>
        </w:rPr>
        <w:t>, uma vez que a segunda parte do referido parágrafo inviabiliza a efetividade da primeira parte, posto que são contraditórias entre si.</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Como o Prefeito poderá nomear Secretário valendo-se a primeira parte do primeiro parágrafo se a segunda parte do primeiro parágrafo o impede de fazer uso dessa prerrogativa.</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Em linhas gerais, a segunda parte do parágrafo primeiro impossibilita a nomeação de qualquer cargo, já que não existe no âmbito da Administração Pública, não existe situação que se coaduna com o que está relatado do referido dispositivo legal.</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 xml:space="preserve">Mais a mais, parágrafo traz em seu bojo que a exceção somente se aplica se o nomeado ou designado tiver capacidade de atender a complexidade inerente ao cargo (?). </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 xml:space="preserve">A expressão “complexidade inerente ao cargo” contida no §1º do art. 2º se traduz em </w:t>
      </w:r>
      <w:r w:rsidRPr="001D686C">
        <w:rPr>
          <w:rFonts w:ascii="Arial" w:hAnsi="Arial" w:cs="Arial"/>
          <w:sz w:val="20"/>
          <w:szCs w:val="20"/>
          <w:u w:val="single"/>
        </w:rPr>
        <w:t>norma aberta</w:t>
      </w:r>
      <w:r w:rsidRPr="001D686C">
        <w:rPr>
          <w:rFonts w:ascii="Arial" w:hAnsi="Arial" w:cs="Arial"/>
          <w:sz w:val="20"/>
          <w:szCs w:val="20"/>
        </w:rPr>
        <w:t xml:space="preserve">, ou seja, apresenta definição ampla, que permite ao seu leitor realizar interpretação de grande amplitude. Dá-se, desta maneira, grande azo ao julgador, haja vista que este poderá utilizar-se desta em diversas situações, com acepções diferentes </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 xml:space="preserve">Logo, a expressão, por não ter sido suprimida, torna o dispositivo inaplicável ao caso concreto, uma vez que inexistem hoje na legislação municipal critérios objetivos capazes de definir qual seja a complexidade de um </w:t>
      </w:r>
      <w:r w:rsidRPr="001D686C">
        <w:rPr>
          <w:rFonts w:ascii="Arial" w:hAnsi="Arial" w:cs="Arial"/>
          <w:sz w:val="20"/>
          <w:szCs w:val="20"/>
        </w:rPr>
        <w:lastRenderedPageBreak/>
        <w:t>cargo, senão aqueles referentes a escolaridade, idade mínima e qualificação profissional.</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Por estes motivos, é que se veta o parágrafo em análise.</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p>
    <w:p w:rsidR="001D686C" w:rsidRPr="001D686C" w:rsidRDefault="001D686C" w:rsidP="001D686C">
      <w:pPr>
        <w:numPr>
          <w:ilvl w:val="0"/>
          <w:numId w:val="3"/>
        </w:numPr>
        <w:tabs>
          <w:tab w:val="left" w:pos="1134"/>
          <w:tab w:val="left" w:pos="1418"/>
        </w:tabs>
        <w:spacing w:after="120" w:line="360" w:lineRule="auto"/>
        <w:ind w:left="1560" w:hanging="357"/>
        <w:jc w:val="both"/>
        <w:rPr>
          <w:rFonts w:ascii="Arial" w:hAnsi="Arial" w:cs="Arial"/>
          <w:b/>
          <w:sz w:val="20"/>
          <w:szCs w:val="20"/>
        </w:rPr>
      </w:pPr>
      <w:r w:rsidRPr="001D686C">
        <w:rPr>
          <w:rFonts w:ascii="Arial" w:hAnsi="Arial" w:cs="Arial"/>
          <w:b/>
          <w:sz w:val="20"/>
          <w:szCs w:val="20"/>
        </w:rPr>
        <w:t>Violação ao princípio da Independência e Harmonia dos Poderes</w:t>
      </w:r>
    </w:p>
    <w:p w:rsidR="001D686C" w:rsidRPr="001D686C" w:rsidRDefault="001D686C" w:rsidP="001D686C">
      <w:pPr>
        <w:tabs>
          <w:tab w:val="left" w:pos="1134"/>
        </w:tabs>
        <w:spacing w:after="120" w:line="360" w:lineRule="auto"/>
        <w:ind w:left="1560" w:firstLine="1134"/>
        <w:jc w:val="both"/>
        <w:rPr>
          <w:rFonts w:ascii="Arial" w:hAnsi="Arial" w:cs="Arial"/>
          <w:sz w:val="20"/>
          <w:szCs w:val="20"/>
        </w:rPr>
      </w:pPr>
      <w:r w:rsidRPr="001D686C">
        <w:rPr>
          <w:rFonts w:ascii="Arial" w:hAnsi="Arial" w:cs="Arial"/>
          <w:sz w:val="20"/>
          <w:szCs w:val="20"/>
        </w:rPr>
        <w:t>Prevê o art. 7º, do Projeto de Lei de iniciativa do Poder Legislativo nº 08, de 17 de junho de 2015, que:</w:t>
      </w:r>
    </w:p>
    <w:p w:rsidR="001D686C" w:rsidRPr="001D686C" w:rsidRDefault="001D686C" w:rsidP="001D686C">
      <w:pPr>
        <w:tabs>
          <w:tab w:val="left" w:pos="1134"/>
        </w:tabs>
        <w:spacing w:before="120" w:line="360" w:lineRule="auto"/>
        <w:ind w:left="1560"/>
        <w:jc w:val="both"/>
        <w:rPr>
          <w:rFonts w:ascii="Arial" w:eastAsia="Calibri" w:hAnsi="Arial" w:cs="Arial"/>
          <w:i/>
          <w:sz w:val="20"/>
          <w:szCs w:val="20"/>
        </w:rPr>
      </w:pPr>
      <w:r w:rsidRPr="001D686C">
        <w:rPr>
          <w:rFonts w:ascii="Arial" w:eastAsia="Calibri" w:hAnsi="Arial" w:cs="Arial"/>
          <w:i/>
          <w:sz w:val="20"/>
          <w:szCs w:val="20"/>
        </w:rPr>
        <w:t xml:space="preserve">Art. 7º O Presidente da Câmara e o Prefeito Municipal, dentro do prazo de 15 (quinze) dias, contados da publicação desta Lei, promoverão a exoneração dos atuais ocupantes de cargos de provimento em comissão e de funções gratificadas, nas situações previstas nesta Lei. </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À luz das normas e mandamentos constitucionais, a proposição legislativa mostra-se incompatível com o princípio da independência e harmonia dos Poderes do Estado, inscrito no artigo 2º da Constituição Federal e confirmado no artigo 10 da Constituição Estadual, por caracterizar ingerência do Poder Legislativo nas questões afetas à esfera de atuação do Poder Executivo.</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O citado princípio deve ser de observância obrigatória para os três Poderes, o que no caso em tela torna indiscutível a inconstitucionalidade do artigo 7º, por ensejar imposição de prazo para realização de providência tipicamente relacionada à administração pública, que somente ao Chefe deste Poder cabe a previsão do momento de estabelecer. </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Esse é entendimento encampado pelo Supremo Tribunal Federal, conforme se verifica no julgado abaixo colacionado:</w:t>
      </w:r>
    </w:p>
    <w:p w:rsidR="001D686C" w:rsidRPr="001D686C" w:rsidRDefault="001D686C" w:rsidP="001D686C">
      <w:pPr>
        <w:tabs>
          <w:tab w:val="left" w:pos="1134"/>
        </w:tabs>
        <w:spacing w:before="120" w:line="360" w:lineRule="auto"/>
        <w:ind w:left="1560"/>
        <w:jc w:val="both"/>
        <w:rPr>
          <w:rFonts w:ascii="Arial" w:hAnsi="Arial" w:cs="Arial"/>
          <w:i/>
          <w:sz w:val="20"/>
          <w:szCs w:val="20"/>
        </w:rPr>
      </w:pPr>
      <w:r w:rsidRPr="001D686C">
        <w:rPr>
          <w:rFonts w:ascii="Arial" w:hAnsi="Arial" w:cs="Arial"/>
          <w:i/>
          <w:sz w:val="20"/>
          <w:szCs w:val="20"/>
        </w:rPr>
        <w:t xml:space="preserve">AÇÃO DIRETA DE INCONSTITUCIONALIDADE. IMPUGNAÇÃO DE 21 ARTIGOS DO ATO DAS DISPOSIÇÕES CONSTITUCIONAIS TRANSITÓRIAS DA CONSTITUIÇÃO DO ESTADO DO RIO GRANDE DO SUL. FIXAÇÃO DE PRAZO PARA O PODER EXECUTIVO ENCAMINHAR PROPOSIÇÕES LEGISLATIVAS E PRATICAR ATOS ADMINISTRATIVOS. CONHECIMENTO PARCIAL. POSTERIOR REGULAMENTAÇÃO. PREJUDICIALIDADE. MÉRITO. </w:t>
      </w:r>
      <w:proofErr w:type="gramStart"/>
      <w:r w:rsidRPr="001D686C">
        <w:rPr>
          <w:rFonts w:ascii="Arial" w:hAnsi="Arial" w:cs="Arial"/>
          <w:i/>
          <w:sz w:val="20"/>
          <w:szCs w:val="20"/>
        </w:rPr>
        <w:t>OFENSA À</w:t>
      </w:r>
      <w:proofErr w:type="gramEnd"/>
      <w:r w:rsidRPr="001D686C">
        <w:rPr>
          <w:rFonts w:ascii="Arial" w:hAnsi="Arial" w:cs="Arial"/>
          <w:i/>
          <w:sz w:val="20"/>
          <w:szCs w:val="20"/>
        </w:rPr>
        <w:t xml:space="preserve"> COMPETÊNCIA LEGISLATIVA PRIVATIVA DA UNIÃO (ART. 22, VII E XX, CF/88). VIOLAÇÃO DO POSTULADO DA SEPARAÇÃO DOS PODERES. INCONSTITUCIONALIDADE. (...) </w:t>
      </w:r>
      <w:r w:rsidRPr="001D686C">
        <w:rPr>
          <w:rFonts w:ascii="Arial" w:hAnsi="Arial" w:cs="Arial"/>
          <w:b/>
          <w:i/>
          <w:sz w:val="20"/>
          <w:szCs w:val="20"/>
        </w:rPr>
        <w:t xml:space="preserve">3. É inconstitucional qualquer tentativa do Poder Legislativo de definir previamente </w:t>
      </w:r>
      <w:proofErr w:type="spellStart"/>
      <w:r w:rsidRPr="001D686C">
        <w:rPr>
          <w:rFonts w:ascii="Arial" w:hAnsi="Arial" w:cs="Arial"/>
          <w:b/>
          <w:i/>
          <w:sz w:val="20"/>
          <w:szCs w:val="20"/>
        </w:rPr>
        <w:t>conteúdos</w:t>
      </w:r>
      <w:proofErr w:type="spellEnd"/>
      <w:r w:rsidRPr="001D686C">
        <w:rPr>
          <w:rFonts w:ascii="Arial" w:hAnsi="Arial" w:cs="Arial"/>
          <w:b/>
          <w:i/>
          <w:sz w:val="20"/>
          <w:szCs w:val="20"/>
        </w:rPr>
        <w:t xml:space="preserve"> ou estabelecer prazos para que o Poder Executivo, em relação às matérias afetas a sua iniciativa, apresente proposições legislativas, mesmo em sede da Constituição estadual, porquanto ofende, na seara administrativa, a garantia de gestão superior dada ao Chefe daquele poder. </w:t>
      </w:r>
      <w:r w:rsidRPr="001D686C">
        <w:rPr>
          <w:rFonts w:ascii="Arial" w:hAnsi="Arial" w:cs="Arial"/>
          <w:i/>
          <w:sz w:val="20"/>
          <w:szCs w:val="20"/>
        </w:rPr>
        <w:t xml:space="preserve">Os dispositivos </w:t>
      </w:r>
      <w:r w:rsidRPr="001D686C">
        <w:rPr>
          <w:rFonts w:ascii="Arial" w:hAnsi="Arial" w:cs="Arial"/>
          <w:i/>
          <w:sz w:val="20"/>
          <w:szCs w:val="20"/>
        </w:rPr>
        <w:lastRenderedPageBreak/>
        <w:t xml:space="preserve">do ADCT da Constituição </w:t>
      </w:r>
      <w:proofErr w:type="spellStart"/>
      <w:r w:rsidRPr="001D686C">
        <w:rPr>
          <w:rFonts w:ascii="Arial" w:hAnsi="Arial" w:cs="Arial"/>
          <w:i/>
          <w:sz w:val="20"/>
          <w:szCs w:val="20"/>
        </w:rPr>
        <w:t>gaucha</w:t>
      </w:r>
      <w:proofErr w:type="spellEnd"/>
      <w:r w:rsidRPr="001D686C">
        <w:rPr>
          <w:rFonts w:ascii="Arial" w:hAnsi="Arial" w:cs="Arial"/>
          <w:i/>
          <w:sz w:val="20"/>
          <w:szCs w:val="20"/>
        </w:rPr>
        <w:t xml:space="preserve">,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1D686C">
        <w:rPr>
          <w:rFonts w:ascii="Arial" w:hAnsi="Arial" w:cs="Arial"/>
          <w:i/>
          <w:sz w:val="20"/>
          <w:szCs w:val="20"/>
        </w:rPr>
        <w:t>arts</w:t>
      </w:r>
      <w:proofErr w:type="spellEnd"/>
      <w:r w:rsidRPr="001D686C">
        <w:rPr>
          <w:rFonts w:ascii="Arial" w:hAnsi="Arial" w:cs="Arial"/>
          <w:i/>
          <w:sz w:val="20"/>
          <w:szCs w:val="20"/>
        </w:rPr>
        <w:t xml:space="preserve">. 2º e 84, inciso II, da Carta Magna. 4. Ação direta de inconstitucionalidade de que se conhece parcialmente e que se julga, na parte de que se conhece, procedente. (STF - ADI: 179 </w:t>
      </w:r>
      <w:proofErr w:type="gramStart"/>
      <w:r w:rsidRPr="001D686C">
        <w:rPr>
          <w:rFonts w:ascii="Arial" w:hAnsi="Arial" w:cs="Arial"/>
          <w:i/>
          <w:sz w:val="20"/>
          <w:szCs w:val="20"/>
        </w:rPr>
        <w:t>RS ,</w:t>
      </w:r>
      <w:proofErr w:type="gramEnd"/>
      <w:r w:rsidRPr="001D686C">
        <w:rPr>
          <w:rFonts w:ascii="Arial" w:hAnsi="Arial" w:cs="Arial"/>
          <w:i/>
          <w:sz w:val="20"/>
          <w:szCs w:val="20"/>
        </w:rPr>
        <w:t xml:space="preserve"> Relator: Min. DIAS TOFFOLI, Data de Julgamento: 19/02/2014, Tribunal Pleno, Data de Publicação: ACÓRDÃO ELETRÔNICO DJe-062 DIVULG 27-03-2014 PUBLIC 28-03-2014)</w:t>
      </w:r>
    </w:p>
    <w:p w:rsidR="001D686C" w:rsidRPr="001D686C" w:rsidRDefault="001D686C" w:rsidP="001D686C">
      <w:pPr>
        <w:tabs>
          <w:tab w:val="left" w:pos="1134"/>
        </w:tabs>
        <w:spacing w:before="120" w:line="360" w:lineRule="auto"/>
        <w:ind w:left="1560" w:firstLine="1134"/>
        <w:jc w:val="both"/>
        <w:rPr>
          <w:rFonts w:ascii="Arial" w:hAnsi="Arial" w:cs="Arial"/>
          <w:sz w:val="20"/>
          <w:szCs w:val="20"/>
        </w:rPr>
      </w:pPr>
      <w:r w:rsidRPr="001D686C">
        <w:rPr>
          <w:rFonts w:ascii="Arial" w:hAnsi="Arial" w:cs="Arial"/>
          <w:sz w:val="20"/>
          <w:szCs w:val="20"/>
        </w:rPr>
        <w:t xml:space="preserve">Dessa forma, não é possível permitir a inclusão no ordenamento jurídico dispositivo que viola frontalmente princípio constitucional consagrado e de tão relevante </w:t>
      </w:r>
      <w:proofErr w:type="gramStart"/>
      <w:r w:rsidRPr="001D686C">
        <w:rPr>
          <w:rFonts w:ascii="Arial" w:hAnsi="Arial" w:cs="Arial"/>
          <w:sz w:val="20"/>
          <w:szCs w:val="20"/>
        </w:rPr>
        <w:t>importância.”</w:t>
      </w:r>
      <w:proofErr w:type="gramEnd"/>
    </w:p>
    <w:p w:rsidR="001D686C" w:rsidRPr="001D686C" w:rsidRDefault="001D686C" w:rsidP="001D686C">
      <w:pPr>
        <w:ind w:left="1560"/>
        <w:jc w:val="both"/>
        <w:rPr>
          <w:sz w:val="20"/>
          <w:szCs w:val="20"/>
        </w:rPr>
      </w:pPr>
    </w:p>
    <w:p w:rsidR="001D686C" w:rsidRDefault="001D686C" w:rsidP="001D686C">
      <w:pPr>
        <w:ind w:firstLine="708"/>
        <w:jc w:val="both"/>
      </w:pPr>
      <w:r>
        <w:t>Face ao exposto, conclui-se pela viabilidade jurídica do Veto Parcial apresentado</w:t>
      </w:r>
      <w:r w:rsidR="00040CC7">
        <w:t xml:space="preserve"> pelo Poder Executivo, podendo ser submetido ao plenário. </w:t>
      </w:r>
    </w:p>
    <w:p w:rsidR="005E5C63" w:rsidRDefault="005E5C63" w:rsidP="00317EC3">
      <w:pPr>
        <w:ind w:firstLine="708"/>
        <w:jc w:val="both"/>
      </w:pPr>
    </w:p>
    <w:p w:rsidR="0089771C" w:rsidRDefault="00447978" w:rsidP="005E5C63">
      <w:pPr>
        <w:jc w:val="center"/>
        <w:rPr>
          <w:b/>
        </w:rPr>
      </w:pPr>
      <w:r>
        <w:rPr>
          <w:b/>
        </w:rPr>
        <w:t>Conclusão do Voto:</w:t>
      </w:r>
    </w:p>
    <w:p w:rsidR="00B41FD4" w:rsidRDefault="00B41FD4" w:rsidP="005E5C63">
      <w:pPr>
        <w:jc w:val="center"/>
        <w:rPr>
          <w:b/>
        </w:rPr>
      </w:pPr>
    </w:p>
    <w:p w:rsidR="002A4D97" w:rsidRDefault="00AD6F69" w:rsidP="00AD6F69">
      <w:pPr>
        <w:jc w:val="both"/>
      </w:pPr>
      <w:r>
        <w:rPr>
          <w:b/>
        </w:rPr>
        <w:tab/>
      </w:r>
      <w:r w:rsidRPr="007450B1">
        <w:t>Diant</w:t>
      </w:r>
      <w:r w:rsidR="00484795">
        <w:t>e dos fundam</w:t>
      </w:r>
      <w:r w:rsidR="00EC1298">
        <w:t>entos expostos, esta</w:t>
      </w:r>
      <w:r w:rsidR="0079055D">
        <w:t xml:space="preserve"> Relator</w:t>
      </w:r>
      <w:r w:rsidR="00EC1298">
        <w:t>a</w:t>
      </w:r>
      <w:r w:rsidRPr="007450B1">
        <w:t xml:space="preserve"> disponibiliza o presen</w:t>
      </w:r>
      <w:r w:rsidR="005E5C63">
        <w:t>te Voto Favorável à proposição.</w:t>
      </w:r>
    </w:p>
    <w:p w:rsidR="00432491" w:rsidRPr="008B1AE8" w:rsidRDefault="00432491" w:rsidP="00AD6F69">
      <w:pPr>
        <w:jc w:val="both"/>
      </w:pPr>
    </w:p>
    <w:p w:rsidR="004D66E9" w:rsidRDefault="00AD6F69" w:rsidP="00AD6F69">
      <w:r>
        <w:rPr>
          <w:b/>
        </w:rPr>
        <w:tab/>
      </w:r>
      <w:r w:rsidR="00755094">
        <w:t>Sala das Co</w:t>
      </w:r>
      <w:r w:rsidR="00AB328F">
        <w:t xml:space="preserve">missões, em </w:t>
      </w:r>
      <w:r w:rsidR="00040CC7">
        <w:t>08</w:t>
      </w:r>
      <w:r w:rsidR="00966B03">
        <w:t xml:space="preserve"> </w:t>
      </w:r>
      <w:r w:rsidR="00040CC7">
        <w:t>de outubro</w:t>
      </w:r>
      <w:r w:rsidR="00484795">
        <w:t xml:space="preserve"> de 2015</w:t>
      </w:r>
    </w:p>
    <w:p w:rsidR="00F3565A" w:rsidRDefault="00F3565A" w:rsidP="00AD6F69"/>
    <w:p w:rsidR="0079055D" w:rsidRDefault="0079055D" w:rsidP="00AD6F69"/>
    <w:p w:rsidR="00F3565A" w:rsidRPr="004A23F3" w:rsidRDefault="00F3565A" w:rsidP="00F3565A">
      <w:pPr>
        <w:ind w:firstLine="708"/>
      </w:pPr>
      <w:r w:rsidRPr="004A23F3">
        <w:t>_______________</w:t>
      </w:r>
      <w:r>
        <w:t>____________</w:t>
      </w:r>
    </w:p>
    <w:p w:rsidR="0079055D" w:rsidRDefault="00EC1298" w:rsidP="0079055D">
      <w:pPr>
        <w:ind w:firstLine="708"/>
      </w:pPr>
      <w:r>
        <w:t>LÉLIA MÜLLER</w:t>
      </w:r>
      <w:r w:rsidR="0079055D">
        <w:t xml:space="preserve"> – RELATOR</w:t>
      </w:r>
      <w:r>
        <w:t>A</w:t>
      </w:r>
    </w:p>
    <w:p w:rsidR="0079055D" w:rsidRDefault="0079055D" w:rsidP="0079055D">
      <w:pPr>
        <w:ind w:firstLine="708"/>
      </w:pPr>
    </w:p>
    <w:p w:rsidR="0079055D" w:rsidRDefault="0079055D" w:rsidP="0079055D">
      <w:pPr>
        <w:ind w:firstLine="708"/>
      </w:pPr>
    </w:p>
    <w:p w:rsidR="005E5C63" w:rsidRDefault="00AB328F" w:rsidP="005E5C63">
      <w:pPr>
        <w:rPr>
          <w:b/>
        </w:rPr>
      </w:pPr>
      <w:r w:rsidRPr="00387FA5">
        <w:rPr>
          <w:b/>
        </w:rPr>
        <w:t>Pelas Conclusões:</w:t>
      </w:r>
    </w:p>
    <w:p w:rsidR="0079055D" w:rsidRDefault="0079055D" w:rsidP="005E5C63">
      <w:pPr>
        <w:rPr>
          <w:b/>
        </w:rPr>
      </w:pPr>
    </w:p>
    <w:p w:rsidR="00EC1298" w:rsidRPr="005E5C63" w:rsidRDefault="00EC1298" w:rsidP="005E5C63">
      <w:pPr>
        <w:rPr>
          <w:b/>
        </w:rPr>
      </w:pPr>
    </w:p>
    <w:p w:rsidR="00CA4E89" w:rsidRPr="004A23F3" w:rsidRDefault="00CA4E89" w:rsidP="00CA4E89">
      <w:pPr>
        <w:ind w:firstLine="708"/>
      </w:pPr>
      <w:r>
        <w:t>___________</w:t>
      </w:r>
      <w:r w:rsidRPr="004A23F3">
        <w:t>___</w:t>
      </w:r>
      <w:r>
        <w:t>____________</w:t>
      </w:r>
    </w:p>
    <w:p w:rsidR="00CA4E89" w:rsidRDefault="00CA4E89" w:rsidP="00CA4E89">
      <w:pPr>
        <w:ind w:firstLine="708"/>
      </w:pPr>
      <w:r>
        <w:t>IDO RHODEN – PRESIDENTE</w:t>
      </w:r>
    </w:p>
    <w:p w:rsidR="00EC1298" w:rsidRDefault="00EC1298" w:rsidP="00CA4E89">
      <w:pPr>
        <w:ind w:firstLine="708"/>
      </w:pPr>
    </w:p>
    <w:p w:rsidR="00066557" w:rsidRDefault="00066557" w:rsidP="00CA4E89">
      <w:pPr>
        <w:ind w:firstLine="708"/>
      </w:pPr>
    </w:p>
    <w:p w:rsidR="00EC1298" w:rsidRDefault="00066557" w:rsidP="00CA4E89">
      <w:pPr>
        <w:ind w:firstLine="708"/>
      </w:pPr>
      <w:r>
        <w:t>_____________________________________</w:t>
      </w:r>
    </w:p>
    <w:p w:rsidR="00066557" w:rsidRDefault="00066557" w:rsidP="00066557">
      <w:pPr>
        <w:ind w:firstLine="708"/>
      </w:pPr>
      <w:r w:rsidRPr="004A23F3">
        <w:t>LEOMAR KOESTER – VICE-PRESIDENTE</w:t>
      </w:r>
      <w:r w:rsidR="00A875FA">
        <w:t xml:space="preserve"> (</w:t>
      </w:r>
      <w:r w:rsidR="00A875FA" w:rsidRPr="00A875FA">
        <w:rPr>
          <w:b/>
        </w:rPr>
        <w:t>VOTO CONTRÁRIO)</w:t>
      </w:r>
    </w:p>
    <w:p w:rsidR="00EC1298" w:rsidRDefault="00EC1298" w:rsidP="00CA4E89">
      <w:pPr>
        <w:ind w:firstLine="708"/>
      </w:pPr>
    </w:p>
    <w:p w:rsidR="00CA4E89" w:rsidRDefault="00CA4E89" w:rsidP="00235B16">
      <w:pPr>
        <w:rPr>
          <w:b/>
        </w:rPr>
      </w:pPr>
    </w:p>
    <w:p w:rsidR="005E5C63" w:rsidRPr="00235B16" w:rsidRDefault="005E5C63" w:rsidP="00235B16">
      <w:pPr>
        <w:rPr>
          <w:b/>
        </w:rPr>
      </w:pPr>
      <w:bookmarkStart w:id="0" w:name="_GoBack"/>
      <w:bookmarkEnd w:id="0"/>
    </w:p>
    <w:sectPr w:rsidR="005E5C63" w:rsidRPr="00235B16"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A2" w:rsidRDefault="00217DA2" w:rsidP="00052047">
      <w:r>
        <w:separator/>
      </w:r>
    </w:p>
  </w:endnote>
  <w:endnote w:type="continuationSeparator" w:id="0">
    <w:p w:rsidR="00217DA2" w:rsidRDefault="00217DA2"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A2" w:rsidRDefault="00217DA2" w:rsidP="00052047">
      <w:r>
        <w:separator/>
      </w:r>
    </w:p>
  </w:footnote>
  <w:footnote w:type="continuationSeparator" w:id="0">
    <w:p w:rsidR="00217DA2" w:rsidRDefault="00217DA2" w:rsidP="00052047">
      <w:r>
        <w:continuationSeparator/>
      </w:r>
    </w:p>
  </w:footnote>
  <w:footnote w:id="1">
    <w:p w:rsidR="001D686C" w:rsidRPr="001741B6" w:rsidRDefault="001D686C" w:rsidP="001D686C">
      <w:pPr>
        <w:pStyle w:val="Textodenotaderodap"/>
        <w:jc w:val="both"/>
        <w:rPr>
          <w:b/>
          <w:bCs/>
        </w:rPr>
      </w:pPr>
      <w:r>
        <w:rPr>
          <w:rStyle w:val="Refdenotaderodap"/>
        </w:rPr>
        <w:footnoteRef/>
      </w:r>
      <w:r>
        <w:rPr>
          <w:b/>
          <w:bCs/>
        </w:rPr>
        <w:t xml:space="preserve"> </w:t>
      </w:r>
      <w:r w:rsidRPr="00254844">
        <w:rPr>
          <w:bCs/>
        </w:rPr>
        <w:t>JUSTEN FILHO, Marçal. </w:t>
      </w:r>
      <w:r w:rsidRPr="00254844">
        <w:rPr>
          <w:bCs/>
          <w:i/>
          <w:iCs/>
        </w:rPr>
        <w:t>Comentários à Lei de Licitações e contratos administrativos</w:t>
      </w:r>
      <w:r w:rsidRPr="00254844">
        <w:rPr>
          <w:bCs/>
        </w:rPr>
        <w:t>. 10. ed. São Paulo: Dialética, 2004. p.</w:t>
      </w:r>
    </w:p>
  </w:footnote>
  <w:footnote w:id="2">
    <w:p w:rsidR="001D686C" w:rsidRDefault="001D686C" w:rsidP="001D686C">
      <w:pPr>
        <w:pStyle w:val="Textodenotaderodap"/>
      </w:pPr>
      <w:r>
        <w:rPr>
          <w:rStyle w:val="Refdenotaderodap"/>
        </w:rPr>
        <w:footnoteRef/>
      </w:r>
      <w:r>
        <w:t xml:space="preserve"> </w:t>
      </w:r>
      <w:r w:rsidRPr="008C266E">
        <w:t>MELLO, Celso Antônio Bandeira de. Cu</w:t>
      </w:r>
      <w:r>
        <w:t>rso de direito administrativo. 31. ed. São Paulo: Malheiros, 2014</w:t>
      </w:r>
      <w:r w:rsidRPr="008C266E">
        <w:t>.</w:t>
      </w:r>
    </w:p>
  </w:footnote>
  <w:footnote w:id="3">
    <w:p w:rsidR="001D686C" w:rsidRDefault="001D686C" w:rsidP="001D686C">
      <w:pPr>
        <w:pStyle w:val="Textodenotaderodap"/>
      </w:pPr>
      <w:r>
        <w:rPr>
          <w:rStyle w:val="Refdenotaderodap"/>
        </w:rPr>
        <w:footnoteRef/>
      </w:r>
      <w:r>
        <w:t xml:space="preserve"> </w:t>
      </w:r>
      <w:r w:rsidRPr="00254844">
        <w:t>ADI 3059 (</w:t>
      </w:r>
      <w:proofErr w:type="gramStart"/>
      <w:r w:rsidRPr="00254844">
        <w:t>MC)/</w:t>
      </w:r>
      <w:proofErr w:type="gramEnd"/>
      <w:r w:rsidRPr="00254844">
        <w:t>RS. Tribunal Pleno. Rel. Min. Carlos Britto. Julgado em 15/04/2004, p. DJ 20/08/2004, p. 36.</w:t>
      </w:r>
    </w:p>
  </w:footnote>
  <w:footnote w:id="4">
    <w:p w:rsidR="001D686C" w:rsidRDefault="001D686C" w:rsidP="001D686C">
      <w:pPr>
        <w:pStyle w:val="Textodenotaderodap"/>
      </w:pPr>
      <w:r>
        <w:rPr>
          <w:rStyle w:val="Refdenotaderodap"/>
        </w:rPr>
        <w:footnoteRef/>
      </w:r>
      <w:r>
        <w:t xml:space="preserve"> </w:t>
      </w:r>
      <w:r w:rsidRPr="00254844">
        <w:t>Rel. Min. Eros Grau. Publicado no DJ de 20/04/2005.</w:t>
      </w:r>
      <w:r w:rsidRPr="00254844">
        <w:b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9AA6CFA"/>
    <w:multiLevelType w:val="hybridMultilevel"/>
    <w:tmpl w:val="0ED212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7F8B"/>
    <w:rsid w:val="00040CC7"/>
    <w:rsid w:val="0004207B"/>
    <w:rsid w:val="00043E8D"/>
    <w:rsid w:val="00052047"/>
    <w:rsid w:val="000558D3"/>
    <w:rsid w:val="00066557"/>
    <w:rsid w:val="000754A1"/>
    <w:rsid w:val="00075A97"/>
    <w:rsid w:val="00077222"/>
    <w:rsid w:val="00080D2A"/>
    <w:rsid w:val="000B5BA3"/>
    <w:rsid w:val="000D64F9"/>
    <w:rsid w:val="000E2419"/>
    <w:rsid w:val="000E70EB"/>
    <w:rsid w:val="0010109D"/>
    <w:rsid w:val="00142955"/>
    <w:rsid w:val="00173A29"/>
    <w:rsid w:val="0017550D"/>
    <w:rsid w:val="00176416"/>
    <w:rsid w:val="001811F9"/>
    <w:rsid w:val="00183F78"/>
    <w:rsid w:val="001840BB"/>
    <w:rsid w:val="001A0540"/>
    <w:rsid w:val="001A1F7B"/>
    <w:rsid w:val="001D686C"/>
    <w:rsid w:val="001E0F4B"/>
    <w:rsid w:val="001E333E"/>
    <w:rsid w:val="001E4586"/>
    <w:rsid w:val="001E60CF"/>
    <w:rsid w:val="00202507"/>
    <w:rsid w:val="00207630"/>
    <w:rsid w:val="00217DA2"/>
    <w:rsid w:val="00225A89"/>
    <w:rsid w:val="00231D64"/>
    <w:rsid w:val="0023489C"/>
    <w:rsid w:val="00235B16"/>
    <w:rsid w:val="00237E83"/>
    <w:rsid w:val="002439C1"/>
    <w:rsid w:val="002501C1"/>
    <w:rsid w:val="00254497"/>
    <w:rsid w:val="0027537F"/>
    <w:rsid w:val="0028236F"/>
    <w:rsid w:val="00291D20"/>
    <w:rsid w:val="00296490"/>
    <w:rsid w:val="002A4D97"/>
    <w:rsid w:val="002C6830"/>
    <w:rsid w:val="002D7A78"/>
    <w:rsid w:val="002E09D7"/>
    <w:rsid w:val="00305440"/>
    <w:rsid w:val="0031145E"/>
    <w:rsid w:val="003151ED"/>
    <w:rsid w:val="00317EC3"/>
    <w:rsid w:val="0032127B"/>
    <w:rsid w:val="00326871"/>
    <w:rsid w:val="00337BE4"/>
    <w:rsid w:val="00341DD4"/>
    <w:rsid w:val="00350C6E"/>
    <w:rsid w:val="00357B78"/>
    <w:rsid w:val="0036240F"/>
    <w:rsid w:val="00371199"/>
    <w:rsid w:val="003760E4"/>
    <w:rsid w:val="003924B5"/>
    <w:rsid w:val="003A4242"/>
    <w:rsid w:val="003C337D"/>
    <w:rsid w:val="003D00EB"/>
    <w:rsid w:val="003E45BA"/>
    <w:rsid w:val="003E58A8"/>
    <w:rsid w:val="003F2960"/>
    <w:rsid w:val="00432491"/>
    <w:rsid w:val="00445DC2"/>
    <w:rsid w:val="00447978"/>
    <w:rsid w:val="00454545"/>
    <w:rsid w:val="00461440"/>
    <w:rsid w:val="00462F38"/>
    <w:rsid w:val="00466B92"/>
    <w:rsid w:val="00477CF6"/>
    <w:rsid w:val="00482BE3"/>
    <w:rsid w:val="00484795"/>
    <w:rsid w:val="00484E4F"/>
    <w:rsid w:val="004850AA"/>
    <w:rsid w:val="004A2736"/>
    <w:rsid w:val="004B5DA3"/>
    <w:rsid w:val="004C5155"/>
    <w:rsid w:val="004C6EFE"/>
    <w:rsid w:val="004D66E9"/>
    <w:rsid w:val="004D7899"/>
    <w:rsid w:val="004E2CAA"/>
    <w:rsid w:val="004F6099"/>
    <w:rsid w:val="004F72F3"/>
    <w:rsid w:val="0050121D"/>
    <w:rsid w:val="00504AD5"/>
    <w:rsid w:val="00505B50"/>
    <w:rsid w:val="00507BC3"/>
    <w:rsid w:val="005132FF"/>
    <w:rsid w:val="00523C39"/>
    <w:rsid w:val="0053492E"/>
    <w:rsid w:val="00556797"/>
    <w:rsid w:val="0055748E"/>
    <w:rsid w:val="00562361"/>
    <w:rsid w:val="005654D5"/>
    <w:rsid w:val="005739B5"/>
    <w:rsid w:val="005A3D97"/>
    <w:rsid w:val="005A66CB"/>
    <w:rsid w:val="005B01F0"/>
    <w:rsid w:val="005E284D"/>
    <w:rsid w:val="005E5C63"/>
    <w:rsid w:val="00640CB7"/>
    <w:rsid w:val="00673624"/>
    <w:rsid w:val="006740E3"/>
    <w:rsid w:val="006748DA"/>
    <w:rsid w:val="006921BD"/>
    <w:rsid w:val="006B1E42"/>
    <w:rsid w:val="006B3568"/>
    <w:rsid w:val="006B4144"/>
    <w:rsid w:val="006C07DD"/>
    <w:rsid w:val="006C2757"/>
    <w:rsid w:val="006C7648"/>
    <w:rsid w:val="006D033A"/>
    <w:rsid w:val="006D3B49"/>
    <w:rsid w:val="006E2CB7"/>
    <w:rsid w:val="00711109"/>
    <w:rsid w:val="00732943"/>
    <w:rsid w:val="007343F0"/>
    <w:rsid w:val="00752503"/>
    <w:rsid w:val="00755094"/>
    <w:rsid w:val="007641EA"/>
    <w:rsid w:val="00770495"/>
    <w:rsid w:val="0077087B"/>
    <w:rsid w:val="00776938"/>
    <w:rsid w:val="00783BE9"/>
    <w:rsid w:val="00787D2E"/>
    <w:rsid w:val="0079055D"/>
    <w:rsid w:val="00797B47"/>
    <w:rsid w:val="007B6B4C"/>
    <w:rsid w:val="007C5565"/>
    <w:rsid w:val="007C5859"/>
    <w:rsid w:val="007E7216"/>
    <w:rsid w:val="00801F20"/>
    <w:rsid w:val="00806C53"/>
    <w:rsid w:val="00820A8F"/>
    <w:rsid w:val="00831154"/>
    <w:rsid w:val="0084403C"/>
    <w:rsid w:val="00871AE9"/>
    <w:rsid w:val="00880227"/>
    <w:rsid w:val="00880381"/>
    <w:rsid w:val="008805A1"/>
    <w:rsid w:val="008946E6"/>
    <w:rsid w:val="008961AE"/>
    <w:rsid w:val="0089771C"/>
    <w:rsid w:val="008B1AE8"/>
    <w:rsid w:val="008C7D87"/>
    <w:rsid w:val="008D1242"/>
    <w:rsid w:val="008E7AF1"/>
    <w:rsid w:val="008F1135"/>
    <w:rsid w:val="008F1146"/>
    <w:rsid w:val="008F27E3"/>
    <w:rsid w:val="008F3E80"/>
    <w:rsid w:val="008F64BA"/>
    <w:rsid w:val="00901522"/>
    <w:rsid w:val="00905885"/>
    <w:rsid w:val="00906204"/>
    <w:rsid w:val="00910DBE"/>
    <w:rsid w:val="00912357"/>
    <w:rsid w:val="00915EE5"/>
    <w:rsid w:val="00937518"/>
    <w:rsid w:val="0095314E"/>
    <w:rsid w:val="00957B11"/>
    <w:rsid w:val="00966B03"/>
    <w:rsid w:val="00987B83"/>
    <w:rsid w:val="009B17BF"/>
    <w:rsid w:val="009C60C3"/>
    <w:rsid w:val="00A139AE"/>
    <w:rsid w:val="00A22338"/>
    <w:rsid w:val="00A2497B"/>
    <w:rsid w:val="00A41A99"/>
    <w:rsid w:val="00A55211"/>
    <w:rsid w:val="00A60278"/>
    <w:rsid w:val="00A730E9"/>
    <w:rsid w:val="00A808B4"/>
    <w:rsid w:val="00A85894"/>
    <w:rsid w:val="00A85C7D"/>
    <w:rsid w:val="00A875FA"/>
    <w:rsid w:val="00A94C72"/>
    <w:rsid w:val="00A96919"/>
    <w:rsid w:val="00AA6015"/>
    <w:rsid w:val="00AB0E4F"/>
    <w:rsid w:val="00AB328F"/>
    <w:rsid w:val="00AD6F69"/>
    <w:rsid w:val="00AE1817"/>
    <w:rsid w:val="00AE45FB"/>
    <w:rsid w:val="00AE4CE2"/>
    <w:rsid w:val="00AF0262"/>
    <w:rsid w:val="00AF3B26"/>
    <w:rsid w:val="00AF3D15"/>
    <w:rsid w:val="00B03A9F"/>
    <w:rsid w:val="00B04CA9"/>
    <w:rsid w:val="00B07737"/>
    <w:rsid w:val="00B235C2"/>
    <w:rsid w:val="00B300EA"/>
    <w:rsid w:val="00B31621"/>
    <w:rsid w:val="00B41FD4"/>
    <w:rsid w:val="00B4220F"/>
    <w:rsid w:val="00B50355"/>
    <w:rsid w:val="00B51059"/>
    <w:rsid w:val="00B8091F"/>
    <w:rsid w:val="00B83867"/>
    <w:rsid w:val="00B85B22"/>
    <w:rsid w:val="00BA6DDF"/>
    <w:rsid w:val="00BB3AB0"/>
    <w:rsid w:val="00BD123B"/>
    <w:rsid w:val="00BE4F2B"/>
    <w:rsid w:val="00C05768"/>
    <w:rsid w:val="00C15D86"/>
    <w:rsid w:val="00C34097"/>
    <w:rsid w:val="00C47479"/>
    <w:rsid w:val="00C55899"/>
    <w:rsid w:val="00C74A3F"/>
    <w:rsid w:val="00C76B15"/>
    <w:rsid w:val="00C9068E"/>
    <w:rsid w:val="00C92B31"/>
    <w:rsid w:val="00CA38B1"/>
    <w:rsid w:val="00CA4E89"/>
    <w:rsid w:val="00CB7E87"/>
    <w:rsid w:val="00CD1B2A"/>
    <w:rsid w:val="00CE4461"/>
    <w:rsid w:val="00CE7DA3"/>
    <w:rsid w:val="00CF4D9E"/>
    <w:rsid w:val="00D015A7"/>
    <w:rsid w:val="00D127ED"/>
    <w:rsid w:val="00D463A1"/>
    <w:rsid w:val="00D515FB"/>
    <w:rsid w:val="00D63736"/>
    <w:rsid w:val="00D71FF0"/>
    <w:rsid w:val="00D765CD"/>
    <w:rsid w:val="00D945C2"/>
    <w:rsid w:val="00D96AC2"/>
    <w:rsid w:val="00DA1240"/>
    <w:rsid w:val="00DA3A75"/>
    <w:rsid w:val="00DD3694"/>
    <w:rsid w:val="00DD7B5D"/>
    <w:rsid w:val="00DD7F22"/>
    <w:rsid w:val="00DE31B0"/>
    <w:rsid w:val="00DF2E17"/>
    <w:rsid w:val="00E04B18"/>
    <w:rsid w:val="00E16078"/>
    <w:rsid w:val="00E210BB"/>
    <w:rsid w:val="00E41092"/>
    <w:rsid w:val="00E44DA2"/>
    <w:rsid w:val="00E52FE9"/>
    <w:rsid w:val="00E67B51"/>
    <w:rsid w:val="00E709D9"/>
    <w:rsid w:val="00E8114F"/>
    <w:rsid w:val="00E8157C"/>
    <w:rsid w:val="00E877A6"/>
    <w:rsid w:val="00E921AA"/>
    <w:rsid w:val="00EC1298"/>
    <w:rsid w:val="00EC4BB5"/>
    <w:rsid w:val="00ED213A"/>
    <w:rsid w:val="00ED5DD9"/>
    <w:rsid w:val="00EE26F0"/>
    <w:rsid w:val="00EE2EFB"/>
    <w:rsid w:val="00EF3B2C"/>
    <w:rsid w:val="00F0251F"/>
    <w:rsid w:val="00F124CB"/>
    <w:rsid w:val="00F1446D"/>
    <w:rsid w:val="00F15A30"/>
    <w:rsid w:val="00F304CF"/>
    <w:rsid w:val="00F32ECD"/>
    <w:rsid w:val="00F3565A"/>
    <w:rsid w:val="00F55776"/>
    <w:rsid w:val="00F667C3"/>
    <w:rsid w:val="00F677AA"/>
    <w:rsid w:val="00F76F93"/>
    <w:rsid w:val="00FA676B"/>
    <w:rsid w:val="00FB137A"/>
    <w:rsid w:val="00FB65E8"/>
    <w:rsid w:val="00FE516B"/>
    <w:rsid w:val="00FE53A8"/>
    <w:rsid w:val="00FF5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DEFB"/>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paragraph" w:styleId="Textodenotaderodap">
    <w:name w:val="footnote text"/>
    <w:basedOn w:val="Normal"/>
    <w:link w:val="TextodenotaderodapChar"/>
    <w:uiPriority w:val="99"/>
    <w:rsid w:val="001D686C"/>
    <w:rPr>
      <w:sz w:val="20"/>
      <w:szCs w:val="20"/>
    </w:rPr>
  </w:style>
  <w:style w:type="character" w:customStyle="1" w:styleId="TextodenotaderodapChar">
    <w:name w:val="Texto de nota de rodapé Char"/>
    <w:basedOn w:val="Fontepargpadro"/>
    <w:link w:val="Textodenotaderodap"/>
    <w:uiPriority w:val="99"/>
    <w:rsid w:val="001D686C"/>
    <w:rPr>
      <w:rFonts w:ascii="Times New Roman" w:eastAsia="Times New Roman" w:hAnsi="Times New Roman" w:cs="Times New Roman"/>
      <w:sz w:val="20"/>
      <w:szCs w:val="20"/>
      <w:lang w:eastAsia="pt-BR"/>
    </w:rPr>
  </w:style>
  <w:style w:type="character" w:styleId="Refdenotaderodap">
    <w:name w:val="footnote reference"/>
    <w:uiPriority w:val="99"/>
    <w:rsid w:val="001D6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3655</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2015-09-25T12:54:00Z</cp:lastPrinted>
  <dcterms:created xsi:type="dcterms:W3CDTF">2016-10-24T12:36:00Z</dcterms:created>
  <dcterms:modified xsi:type="dcterms:W3CDTF">2016-10-24T12:42:00Z</dcterms:modified>
</cp:coreProperties>
</file>