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4403C">
        <w:t xml:space="preserve"> nº 109/</w:t>
      </w:r>
      <w:r w:rsidR="000D64F9">
        <w:t>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84403C">
        <w:t>28</w:t>
      </w:r>
      <w:r w:rsidR="00A2497B">
        <w:t xml:space="preserve"> de agosto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</w:t>
      </w:r>
      <w:r w:rsidR="0084403C">
        <w:t xml:space="preserve"> Substitutiva</w:t>
      </w:r>
      <w:r w:rsidR="008F3E80">
        <w:t xml:space="preserve"> nº</w:t>
      </w:r>
      <w:r w:rsidR="0084403C">
        <w:t xml:space="preserve"> 94</w:t>
      </w:r>
      <w:r w:rsidR="000D64F9">
        <w:t>/2015</w:t>
      </w:r>
      <w:r w:rsidR="00F1446D" w:rsidRPr="00004A55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84403C">
        <w:rPr>
          <w:bCs/>
        </w:rPr>
        <w:t xml:space="preserve"> 89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8E7AF1" w:rsidRDefault="001811F9" w:rsidP="006E2CB7">
      <w:pPr>
        <w:pStyle w:val="Recuodecorpodetexto"/>
        <w:ind w:left="2268" w:firstLine="0"/>
        <w:jc w:val="both"/>
        <w:rPr>
          <w:bCs/>
        </w:rPr>
      </w:pPr>
      <w:r w:rsidRPr="004F6099">
        <w:rPr>
          <w:bCs/>
        </w:rPr>
        <w:t>Ementa</w:t>
      </w:r>
      <w:r w:rsidR="0084403C">
        <w:rPr>
          <w:bCs/>
        </w:rPr>
        <w:t>:</w:t>
      </w:r>
      <w:r w:rsidR="0084403C" w:rsidRPr="0084403C">
        <w:rPr>
          <w:bCs/>
        </w:rPr>
        <w:t xml:space="preserve"> </w:t>
      </w:r>
      <w:r w:rsidR="0084403C">
        <w:rPr>
          <w:bCs/>
        </w:rPr>
        <w:t>Altera o Código de Meio Ambiente e de Posturas do Município de Três Passos (Lei Municipal nº 3.211, de 27 de dezembro de 1995)</w:t>
      </w:r>
    </w:p>
    <w:p w:rsidR="006E2CB7" w:rsidRPr="006E2CB7" w:rsidRDefault="006E2CB7" w:rsidP="006E2CB7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  <w:bookmarkStart w:id="0" w:name="_GoBack"/>
      <w:bookmarkEnd w:id="0"/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84403C">
        <w:rPr>
          <w:bCs/>
        </w:rPr>
        <w:t>do na sessão ordinária do dia 24</w:t>
      </w:r>
      <w:r w:rsidR="008E7AF1">
        <w:rPr>
          <w:bCs/>
        </w:rPr>
        <w:t>/08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3C337D" w:rsidRDefault="003C337D" w:rsidP="00DD3694">
      <w:pPr>
        <w:ind w:firstLine="708"/>
        <w:jc w:val="both"/>
        <w:rPr>
          <w:bCs/>
        </w:rPr>
      </w:pPr>
    </w:p>
    <w:p w:rsidR="008E7AF1" w:rsidRPr="008E7AF1" w:rsidRDefault="008E7AF1" w:rsidP="008E7AF1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Inicialmente, cabe analisar a competência municipal para legislar sobre a matéria objeto da proposição em tela.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Atualmente, de acordo com a Constituição Federal, em seus arts. 22 e 24, apenas a União e os Estados podem legislar sobre o meio ambiente. Entretanto, fazendo a leitura dos arts. 23 e 30 também da Carta Magna, tem-se que: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Art.  23.  </w:t>
      </w:r>
      <w:r w:rsidR="00CD152E" w:rsidRPr="0084403C">
        <w:rPr>
          <w:bCs/>
          <w:i/>
        </w:rPr>
        <w:t>É competência comum da União, dos Estados</w:t>
      </w:r>
      <w:r w:rsidRPr="0084403C">
        <w:rPr>
          <w:bCs/>
          <w:i/>
        </w:rPr>
        <w:t xml:space="preserve">, </w:t>
      </w:r>
      <w:r w:rsidR="00CD152E" w:rsidRPr="0084403C">
        <w:rPr>
          <w:bCs/>
          <w:i/>
        </w:rPr>
        <w:t>do Distrito</w:t>
      </w:r>
      <w:r w:rsidRPr="0084403C">
        <w:rPr>
          <w:bCs/>
          <w:i/>
        </w:rPr>
        <w:t xml:space="preserve"> Federal e dos Municípios: (...)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VI - proteger o meio ambiente e combater a poluição em qualquer de suas formas;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Art. 30. Compete aos Municípios: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I - legislar sobre assuntos de interesse local; 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CD152E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>Por sua vez, a Lei Federal nº 6.938, de 31 de agosto de 1981, que</w:t>
      </w:r>
      <w:r w:rsidR="0084403C" w:rsidRPr="0084403C">
        <w:rPr>
          <w:bCs/>
          <w:i/>
        </w:rPr>
        <w:t xml:space="preserve"> institui a Política Nacional do Meio Ambiente, em seu artigo 6º, §§ 1º e 2º, dispõe: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Art. 6º (...) </w:t>
      </w:r>
      <w:r w:rsidR="00CD152E" w:rsidRPr="0084403C">
        <w:rPr>
          <w:bCs/>
          <w:i/>
        </w:rPr>
        <w:t>§ 1</w:t>
      </w:r>
      <w:r w:rsidRPr="0084403C">
        <w:rPr>
          <w:bCs/>
          <w:i/>
        </w:rPr>
        <w:t xml:space="preserve">º.  </w:t>
      </w:r>
      <w:r w:rsidR="00CD152E" w:rsidRPr="0084403C">
        <w:rPr>
          <w:bCs/>
          <w:i/>
        </w:rPr>
        <w:t>Os Estados, na esfera de suas competências e</w:t>
      </w:r>
      <w:r w:rsidRPr="0084403C">
        <w:rPr>
          <w:bCs/>
          <w:i/>
        </w:rPr>
        <w:t xml:space="preserve"> </w:t>
      </w:r>
      <w:r w:rsidR="00CD152E" w:rsidRPr="0084403C">
        <w:rPr>
          <w:bCs/>
          <w:i/>
        </w:rPr>
        <w:t>nas áreas de</w:t>
      </w:r>
      <w:r w:rsidRPr="0084403C">
        <w:rPr>
          <w:bCs/>
          <w:i/>
        </w:rPr>
        <w:t xml:space="preserve"> </w:t>
      </w:r>
      <w:r w:rsidR="00CD152E" w:rsidRPr="0084403C">
        <w:rPr>
          <w:bCs/>
          <w:i/>
        </w:rPr>
        <w:t>sua jurisdição, elaborarão normas supletivas e complementares e</w:t>
      </w:r>
      <w:r w:rsidRPr="0084403C">
        <w:rPr>
          <w:bCs/>
          <w:i/>
        </w:rPr>
        <w:t xml:space="preserve"> </w:t>
      </w:r>
      <w:r w:rsidR="00CD152E" w:rsidRPr="0084403C">
        <w:rPr>
          <w:bCs/>
          <w:i/>
        </w:rPr>
        <w:t>padrões relacionados com o meio ambiente, observados os que</w:t>
      </w:r>
      <w:r w:rsidRPr="0084403C">
        <w:rPr>
          <w:bCs/>
          <w:i/>
        </w:rPr>
        <w:t xml:space="preserve"> forem estabelecidos pelo CONAMA.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lastRenderedPageBreak/>
        <w:t xml:space="preserve">§ 2º. Os Municípios, observadas as normas e os padrões federais e </w:t>
      </w:r>
      <w:r w:rsidR="00CD152E" w:rsidRPr="0084403C">
        <w:rPr>
          <w:bCs/>
          <w:i/>
        </w:rPr>
        <w:t>estaduais, também poderão elaborar as normas mencionadas no</w:t>
      </w:r>
      <w:r w:rsidRPr="0084403C">
        <w:rPr>
          <w:bCs/>
          <w:i/>
        </w:rPr>
        <w:t xml:space="preserve"> parágrafo anterior.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Portanto, em caso de legislação protetiva do meio ambiente, visando à guarda do interesse local, pode o Município legislar sobre a matéria.       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                  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Em face do princípio constitucional da simetria e das características da </w:t>
      </w:r>
      <w:r w:rsidR="00CD152E" w:rsidRPr="0084403C">
        <w:rPr>
          <w:bCs/>
          <w:i/>
        </w:rPr>
        <w:t>legislação ambiental vigente, o Município pode legislar, desde que nas condições</w:t>
      </w:r>
      <w:r w:rsidRPr="0084403C">
        <w:rPr>
          <w:bCs/>
          <w:i/>
        </w:rPr>
        <w:t xml:space="preserve"> acima descritas. Como ensina Celso Antônio Pacheco </w:t>
      </w:r>
      <w:r w:rsidR="00CD152E" w:rsidRPr="0084403C">
        <w:rPr>
          <w:bCs/>
          <w:i/>
        </w:rPr>
        <w:t>Fiorillo:</w:t>
      </w:r>
      <w:r w:rsidRPr="0084403C">
        <w:rPr>
          <w:bCs/>
          <w:i/>
        </w:rPr>
        <w:t xml:space="preserve">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>...</w:t>
      </w:r>
      <w:r w:rsidR="00CD152E" w:rsidRPr="0084403C">
        <w:rPr>
          <w:bCs/>
          <w:i/>
        </w:rPr>
        <w:t>temos que a Carta Constitucional trouxe importante relevo para o</w:t>
      </w:r>
      <w:r w:rsidRPr="0084403C">
        <w:rPr>
          <w:bCs/>
          <w:i/>
        </w:rPr>
        <w:t xml:space="preserve"> Município, particularmente em face do direito ambiental brasileiro, na medida em que é a partir dele que a pessoa humana poderá usar os denominados bens ambientais, visando plena integração social, com base na moderna concepção de cidadania.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No caso em tela, trata-se de projeto de lei que visa instituir limites para colocação   de   anúncios   luminosos   e   </w:t>
      </w:r>
      <w:r w:rsidR="00CD152E" w:rsidRPr="0084403C">
        <w:rPr>
          <w:bCs/>
          <w:i/>
        </w:rPr>
        <w:t>cartazes (</w:t>
      </w:r>
      <w:r w:rsidRPr="0084403C">
        <w:rPr>
          <w:bCs/>
          <w:i/>
        </w:rPr>
        <w:t xml:space="preserve">poluição   </w:t>
      </w:r>
      <w:r w:rsidR="00CD152E" w:rsidRPr="0084403C">
        <w:rPr>
          <w:bCs/>
          <w:i/>
        </w:rPr>
        <w:t>visual) no</w:t>
      </w:r>
      <w:r w:rsidRPr="0084403C">
        <w:rPr>
          <w:bCs/>
          <w:i/>
        </w:rPr>
        <w:t xml:space="preserve">   Município consulente, a matéria está inserida na competência legislativa suplementar municipal, </w:t>
      </w:r>
      <w:r w:rsidR="00CD152E" w:rsidRPr="0084403C">
        <w:rPr>
          <w:bCs/>
          <w:i/>
        </w:rPr>
        <w:t>e desde que a legislação federal e estadual de regência não disponha de modo</w:t>
      </w:r>
      <w:r w:rsidRPr="0084403C">
        <w:rPr>
          <w:bCs/>
          <w:i/>
        </w:rPr>
        <w:t xml:space="preserve"> especificamente diverso.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Feitos estes esclarecimentos quanto à competência do Município, já no que se refere à iniciativa para deflagrar o processo legislativo, a proposta não possui nenhum vício, posto que se trata de iniciativa concorrente.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 iniciativa de </w:t>
      </w:r>
      <w:r w:rsidR="00CD152E" w:rsidRPr="0084403C">
        <w:rPr>
          <w:bCs/>
          <w:i/>
        </w:rPr>
        <w:t>lei pode ser vinculada, privativa ou concorrente</w:t>
      </w:r>
      <w:r w:rsidRPr="0084403C">
        <w:rPr>
          <w:bCs/>
          <w:i/>
        </w:rPr>
        <w:t xml:space="preserve">.  A </w:t>
      </w:r>
      <w:r w:rsidR="00CD152E" w:rsidRPr="0084403C">
        <w:rPr>
          <w:bCs/>
          <w:i/>
        </w:rPr>
        <w:t>iniciativa vinculada é aquela em que o titular tem</w:t>
      </w:r>
      <w:r w:rsidRPr="0084403C">
        <w:rPr>
          <w:bCs/>
          <w:i/>
        </w:rPr>
        <w:t xml:space="preserve"> </w:t>
      </w:r>
      <w:r w:rsidR="00CD152E" w:rsidRPr="0084403C">
        <w:rPr>
          <w:bCs/>
          <w:i/>
        </w:rPr>
        <w:t>que exercê</w:t>
      </w:r>
      <w:r w:rsidRPr="0084403C">
        <w:rPr>
          <w:bCs/>
          <w:i/>
        </w:rPr>
        <w:t>-</w:t>
      </w:r>
      <w:r w:rsidR="00CD152E" w:rsidRPr="0084403C">
        <w:rPr>
          <w:bCs/>
          <w:i/>
        </w:rPr>
        <w:t>la, em determinado</w:t>
      </w:r>
      <w:r w:rsidRPr="0084403C">
        <w:rPr>
          <w:bCs/>
          <w:i/>
        </w:rPr>
        <w:t xml:space="preserve"> momento, sobre determinada matéria, como é o caso, por exemplo, do projeto de lei </w:t>
      </w:r>
      <w:r w:rsidR="00CD152E" w:rsidRPr="0084403C">
        <w:rPr>
          <w:bCs/>
          <w:i/>
        </w:rPr>
        <w:t>orçamentário, que somente pode ser apresentado pelo</w:t>
      </w:r>
      <w:r w:rsidRPr="0084403C">
        <w:rPr>
          <w:bCs/>
          <w:i/>
        </w:rPr>
        <w:t xml:space="preserve"> </w:t>
      </w:r>
      <w:r w:rsidR="00CD152E" w:rsidRPr="0084403C">
        <w:rPr>
          <w:bCs/>
          <w:i/>
        </w:rPr>
        <w:t>chefe do Poder Executivo e</w:t>
      </w:r>
      <w:r w:rsidRPr="0084403C">
        <w:rPr>
          <w:bCs/>
          <w:i/>
        </w:rPr>
        <w:t xml:space="preserve"> até o limite de prazo fixado na Lei Orgânica do Município.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 iniciativa privativa é a que se confere apenas a um órgão, agente ou pessoa.  </w:t>
      </w:r>
      <w:r w:rsidR="00CD152E" w:rsidRPr="0084403C">
        <w:rPr>
          <w:bCs/>
          <w:i/>
        </w:rPr>
        <w:t>Nos termos da Lei Orgânica Municipal, a iniciativa exclusiva impede o seu</w:t>
      </w:r>
      <w:r w:rsidRPr="0084403C">
        <w:rPr>
          <w:bCs/>
          <w:i/>
        </w:rPr>
        <w:t xml:space="preserve"> exercício por quem não a </w:t>
      </w:r>
      <w:r w:rsidR="00CD152E" w:rsidRPr="0084403C">
        <w:rPr>
          <w:bCs/>
          <w:i/>
        </w:rPr>
        <w:t>titularia</w:t>
      </w:r>
      <w:r w:rsidRPr="0084403C">
        <w:rPr>
          <w:bCs/>
          <w:i/>
        </w:rPr>
        <w:t xml:space="preserve">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 iniciativa concorrente é aquela que pode ser exercida por mais de um </w:t>
      </w:r>
      <w:r w:rsidR="00CD152E" w:rsidRPr="0084403C">
        <w:rPr>
          <w:bCs/>
          <w:i/>
        </w:rPr>
        <w:t>órgão, agente político ou pessoa, desde que trate de matéria que não se enquadre</w:t>
      </w:r>
      <w:r w:rsidRPr="0084403C">
        <w:rPr>
          <w:bCs/>
          <w:i/>
        </w:rPr>
        <w:t xml:space="preserve"> como   sendo   de   iniciativa   </w:t>
      </w:r>
      <w:r w:rsidR="00CD152E" w:rsidRPr="0084403C">
        <w:rPr>
          <w:bCs/>
          <w:i/>
        </w:rPr>
        <w:t>exclusiva, inclusive</w:t>
      </w:r>
      <w:r w:rsidRPr="0084403C">
        <w:rPr>
          <w:bCs/>
          <w:i/>
        </w:rPr>
        <w:t xml:space="preserve">   pode ser   praticado   pela   própria sociedade (iniciativa popular), desde que atenda ao requisito mínimo de subscrição de cinco por cento do eleitorado local.                         </w:t>
      </w:r>
    </w:p>
    <w:p w:rsidR="0084403C" w:rsidRPr="0084403C" w:rsidRDefault="00CD152E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>No caso em tela, por se tratar de iniciativa concorrente, esta foi</w:t>
      </w:r>
      <w:r w:rsidR="0084403C" w:rsidRPr="0084403C">
        <w:rPr>
          <w:bCs/>
          <w:i/>
        </w:rPr>
        <w:t xml:space="preserve"> exercida corretamente.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Por   </w:t>
      </w:r>
      <w:r w:rsidR="00CD152E" w:rsidRPr="0084403C">
        <w:rPr>
          <w:bCs/>
          <w:i/>
        </w:rPr>
        <w:t>oportuno, esclareça</w:t>
      </w:r>
      <w:r w:rsidRPr="0084403C">
        <w:rPr>
          <w:bCs/>
          <w:i/>
        </w:rPr>
        <w:t xml:space="preserve">-se   adicionalmente   apenas </w:t>
      </w:r>
      <w:r w:rsidR="00CD152E" w:rsidRPr="0084403C">
        <w:rPr>
          <w:bCs/>
          <w:i/>
        </w:rPr>
        <w:t>que, porém</w:t>
      </w:r>
      <w:r w:rsidRPr="0084403C">
        <w:rPr>
          <w:bCs/>
          <w:i/>
        </w:rPr>
        <w:t xml:space="preserve">, considerando </w:t>
      </w:r>
      <w:r w:rsidR="00CD152E" w:rsidRPr="0084403C">
        <w:rPr>
          <w:bCs/>
          <w:i/>
        </w:rPr>
        <w:t>que a Lei Orgânica Municipal dispõe expressamente sobre o processo</w:t>
      </w:r>
      <w:r w:rsidRPr="0084403C">
        <w:rPr>
          <w:bCs/>
          <w:i/>
        </w:rPr>
        <w:t xml:space="preserve"> legislativo das leis complementares em </w:t>
      </w:r>
      <w:r w:rsidR="00CD152E" w:rsidRPr="0084403C">
        <w:rPr>
          <w:bCs/>
          <w:i/>
        </w:rPr>
        <w:t>determinadas matéria</w:t>
      </w:r>
      <w:r w:rsidRPr="0084403C">
        <w:rPr>
          <w:bCs/>
          <w:i/>
        </w:rPr>
        <w:t>: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Art. 73. São leis complementares: 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(...)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II – código de posturas;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(...)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V – código do meio ambiente;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CD152E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>Assim, as alterações ao Código de Meio Ambiente e</w:t>
      </w:r>
      <w:r w:rsidR="0084403C" w:rsidRPr="0084403C">
        <w:rPr>
          <w:bCs/>
          <w:i/>
        </w:rPr>
        <w:t xml:space="preserve"> </w:t>
      </w:r>
      <w:r w:rsidRPr="0084403C">
        <w:rPr>
          <w:bCs/>
          <w:i/>
        </w:rPr>
        <w:t>Posturas devem</w:t>
      </w:r>
      <w:r w:rsidR="0084403C" w:rsidRPr="0084403C">
        <w:rPr>
          <w:bCs/>
          <w:i/>
        </w:rPr>
        <w:t xml:space="preserve"> seguir o mesmo rito da tramitação das leis complementares, do que se infere </w:t>
      </w:r>
      <w:r w:rsidR="0084403C" w:rsidRPr="0084403C">
        <w:rPr>
          <w:bCs/>
          <w:i/>
        </w:rPr>
        <w:lastRenderedPageBreak/>
        <w:t xml:space="preserve">incorreta </w:t>
      </w:r>
      <w:r w:rsidRPr="0084403C">
        <w:rPr>
          <w:bCs/>
          <w:i/>
        </w:rPr>
        <w:t>neste aspecto a proposição em análise, já se vislumbrando antecipadamente a</w:t>
      </w:r>
      <w:r w:rsidR="0084403C" w:rsidRPr="0084403C">
        <w:rPr>
          <w:bCs/>
          <w:i/>
        </w:rPr>
        <w:t xml:space="preserve"> inviabilidade da proposição, sob pena de inconstitucionalidade. </w:t>
      </w:r>
    </w:p>
    <w:p w:rsidR="0084403C" w:rsidRPr="0084403C" w:rsidRDefault="00CD152E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>No que respeita à materialidade da proposição, importa registrar que o objeto nada mais é do</w:t>
      </w:r>
      <w:r w:rsidR="0084403C" w:rsidRPr="0084403C">
        <w:rPr>
          <w:bCs/>
          <w:i/>
        </w:rPr>
        <w:t xml:space="preserve"> </w:t>
      </w:r>
      <w:r w:rsidRPr="0084403C">
        <w:rPr>
          <w:bCs/>
          <w:i/>
        </w:rPr>
        <w:t>que exercício do poder de polícia pelo próprio Município, determinando restrições a</w:t>
      </w:r>
      <w:r w:rsidR="0084403C" w:rsidRPr="0084403C">
        <w:rPr>
          <w:bCs/>
          <w:i/>
        </w:rPr>
        <w:t xml:space="preserve"> certas atividades e sua exteriorização por meio de anúncios luminosos e cartazes, em prol do bem da coletividade.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Diante do exposto, conclui-se pela inviabilidade técnica do projeto de lei em análise, em virtude da inadequação do processo legislativo das leis ordinárias ao Código de Posturas e Meio Ambiente, que requer lei complementar nos termos da Lei Orgânica do Município. 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O objeto da proposição é materialmente </w:t>
      </w:r>
      <w:r w:rsidR="00CD152E" w:rsidRPr="0084403C">
        <w:rPr>
          <w:bCs/>
          <w:i/>
        </w:rPr>
        <w:t>viável, entretanto</w:t>
      </w:r>
      <w:r w:rsidRPr="0084403C">
        <w:rPr>
          <w:bCs/>
          <w:i/>
        </w:rPr>
        <w:t xml:space="preserve">, orienta-se a ser reapresentado pelo Poder Executivo, sob a </w:t>
      </w:r>
      <w:r w:rsidR="00CD152E" w:rsidRPr="0084403C">
        <w:rPr>
          <w:bCs/>
          <w:i/>
        </w:rPr>
        <w:t>forma de</w:t>
      </w:r>
      <w:r w:rsidRPr="0084403C">
        <w:rPr>
          <w:bCs/>
          <w:i/>
        </w:rPr>
        <w:t xml:space="preserve"> projeto de lei complementar, a fim de seguir o processo legislativo correto ditado pela Lei Orgânica Municipal.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Três Passos, 26 de agosto de 2015. 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>_________________________________</w:t>
      </w:r>
    </w:p>
    <w:p w:rsidR="0084403C" w:rsidRP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>CRISTINA KÄFER OAB/RS 86.351</w:t>
      </w:r>
    </w:p>
    <w:p w:rsidR="0084403C" w:rsidRDefault="0084403C" w:rsidP="0084403C">
      <w:pPr>
        <w:ind w:left="1134" w:firstLine="708"/>
        <w:jc w:val="both"/>
        <w:rPr>
          <w:bCs/>
          <w:i/>
        </w:rPr>
      </w:pPr>
      <w:r w:rsidRPr="0084403C">
        <w:rPr>
          <w:bCs/>
          <w:i/>
        </w:rPr>
        <w:t xml:space="preserve">      PROCURADORA JURÍDICA</w:t>
      </w:r>
    </w:p>
    <w:p w:rsidR="00DD7B5D" w:rsidRDefault="00DD7B5D" w:rsidP="00DD7B5D">
      <w:pPr>
        <w:ind w:left="1134" w:firstLine="708"/>
        <w:jc w:val="both"/>
        <w:rPr>
          <w:bCs/>
          <w:i/>
        </w:rPr>
      </w:pPr>
    </w:p>
    <w:p w:rsidR="0084403C" w:rsidRDefault="0084403C" w:rsidP="0084403C">
      <w:pPr>
        <w:ind w:firstLine="708"/>
        <w:jc w:val="both"/>
        <w:rPr>
          <w:bCs/>
        </w:rPr>
      </w:pPr>
      <w:r>
        <w:rPr>
          <w:bCs/>
        </w:rPr>
        <w:t xml:space="preserve">Diante disso, sugeriu-se ao Poder Executivo o envio de Projeto de Lei Complementar, o que foi prontamente atendido, sendo que o mesmo foi lido na sessão ordinária do dia 31/08/2015. </w:t>
      </w:r>
    </w:p>
    <w:p w:rsidR="00B235C2" w:rsidRDefault="00B235C2" w:rsidP="00A2233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9C60C3" w:rsidRDefault="00052047" w:rsidP="00317EC3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84403C">
        <w:t xml:space="preserve">, especialmente após o envio do Projeto Lei Complementar Substitutivo.  </w:t>
      </w:r>
    </w:p>
    <w:p w:rsidR="00DD7B5D" w:rsidRDefault="00DD7B5D" w:rsidP="00317EC3">
      <w:pPr>
        <w:ind w:firstLine="708"/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89771C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84403C">
        <w:t>03</w:t>
      </w:r>
      <w:r w:rsidR="00966B03">
        <w:t xml:space="preserve"> </w:t>
      </w:r>
      <w:r w:rsidR="00B03A9F">
        <w:t>de setembro</w:t>
      </w:r>
      <w:r w:rsidR="00484795">
        <w:t xml:space="preserve"> de 2015</w:t>
      </w:r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F0251F" w:rsidRDefault="00F0251F" w:rsidP="00AB328F"/>
    <w:p w:rsidR="00CA4E89" w:rsidRDefault="00AB328F" w:rsidP="00235B16">
      <w:pPr>
        <w:rPr>
          <w:b/>
        </w:rPr>
      </w:pPr>
      <w:r w:rsidRPr="00387FA5">
        <w:rPr>
          <w:b/>
        </w:rPr>
        <w:t>Pelas Conclusões:</w:t>
      </w:r>
    </w:p>
    <w:p w:rsidR="00CA4E89" w:rsidRDefault="00CA4E89" w:rsidP="00CA4E89">
      <w:pPr>
        <w:ind w:firstLine="708"/>
      </w:pPr>
    </w:p>
    <w:p w:rsidR="00CA4E89" w:rsidRPr="004A23F3" w:rsidRDefault="00CA4E89" w:rsidP="00CA4E89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CA4E89" w:rsidRDefault="00CA4E89" w:rsidP="00CA4E89">
      <w:pPr>
        <w:ind w:firstLine="708"/>
      </w:pPr>
      <w:r>
        <w:t>IDO RHODEN – PRESIDENTE</w:t>
      </w:r>
    </w:p>
    <w:p w:rsidR="00CA4E89" w:rsidRPr="00235B16" w:rsidRDefault="00CA4E89" w:rsidP="00235B16">
      <w:pPr>
        <w:rPr>
          <w:b/>
        </w:rPr>
      </w:pPr>
    </w:p>
    <w:p w:rsidR="00AB328F" w:rsidRPr="004A23F3" w:rsidRDefault="00235B16" w:rsidP="00AB328F">
      <w:pPr>
        <w:ind w:firstLine="708"/>
      </w:pPr>
      <w:r>
        <w:t>__</w:t>
      </w:r>
      <w:r w:rsidR="00B07737">
        <w:t>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sectPr w:rsidR="00AB328F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D2" w:rsidRDefault="00C10BD2" w:rsidP="00052047">
      <w:r>
        <w:separator/>
      </w:r>
    </w:p>
  </w:endnote>
  <w:endnote w:type="continuationSeparator" w:id="0">
    <w:p w:rsidR="00C10BD2" w:rsidRDefault="00C10BD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D2" w:rsidRDefault="00C10BD2" w:rsidP="00052047">
      <w:r>
        <w:separator/>
      </w:r>
    </w:p>
  </w:footnote>
  <w:footnote w:type="continuationSeparator" w:id="0">
    <w:p w:rsidR="00C10BD2" w:rsidRDefault="00C10BD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64F9"/>
    <w:rsid w:val="000E2419"/>
    <w:rsid w:val="000E70EB"/>
    <w:rsid w:val="0010109D"/>
    <w:rsid w:val="00142955"/>
    <w:rsid w:val="00173A29"/>
    <w:rsid w:val="00176416"/>
    <w:rsid w:val="001811F9"/>
    <w:rsid w:val="00183F78"/>
    <w:rsid w:val="001840BB"/>
    <w:rsid w:val="001A0540"/>
    <w:rsid w:val="001A1F7B"/>
    <w:rsid w:val="001E333E"/>
    <w:rsid w:val="001E4586"/>
    <w:rsid w:val="001E60CF"/>
    <w:rsid w:val="00202507"/>
    <w:rsid w:val="00207630"/>
    <w:rsid w:val="00225A89"/>
    <w:rsid w:val="00231D64"/>
    <w:rsid w:val="0023489C"/>
    <w:rsid w:val="00235B16"/>
    <w:rsid w:val="00237E83"/>
    <w:rsid w:val="002439C1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41DD4"/>
    <w:rsid w:val="00350C6E"/>
    <w:rsid w:val="00357B78"/>
    <w:rsid w:val="0036240F"/>
    <w:rsid w:val="00371199"/>
    <w:rsid w:val="003760E4"/>
    <w:rsid w:val="003924B5"/>
    <w:rsid w:val="003C337D"/>
    <w:rsid w:val="003D00EB"/>
    <w:rsid w:val="003E45BA"/>
    <w:rsid w:val="003E58A8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B01F0"/>
    <w:rsid w:val="005E284D"/>
    <w:rsid w:val="00640CB7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6D3B49"/>
    <w:rsid w:val="006E2CB7"/>
    <w:rsid w:val="00711109"/>
    <w:rsid w:val="00732943"/>
    <w:rsid w:val="007343F0"/>
    <w:rsid w:val="00752503"/>
    <w:rsid w:val="00755094"/>
    <w:rsid w:val="007641EA"/>
    <w:rsid w:val="00770495"/>
    <w:rsid w:val="0077087B"/>
    <w:rsid w:val="00776938"/>
    <w:rsid w:val="00787D2E"/>
    <w:rsid w:val="00797B47"/>
    <w:rsid w:val="007B6B4C"/>
    <w:rsid w:val="007C5565"/>
    <w:rsid w:val="007C5859"/>
    <w:rsid w:val="007E7216"/>
    <w:rsid w:val="00801F20"/>
    <w:rsid w:val="00806C53"/>
    <w:rsid w:val="00820A8F"/>
    <w:rsid w:val="00831154"/>
    <w:rsid w:val="0084403C"/>
    <w:rsid w:val="00871AE9"/>
    <w:rsid w:val="00880227"/>
    <w:rsid w:val="00880381"/>
    <w:rsid w:val="008805A1"/>
    <w:rsid w:val="008946E6"/>
    <w:rsid w:val="008961AE"/>
    <w:rsid w:val="0089771C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0DBE"/>
    <w:rsid w:val="00912357"/>
    <w:rsid w:val="00937518"/>
    <w:rsid w:val="0095314E"/>
    <w:rsid w:val="00957B11"/>
    <w:rsid w:val="00966B03"/>
    <w:rsid w:val="00987B83"/>
    <w:rsid w:val="009C60C3"/>
    <w:rsid w:val="00A139AE"/>
    <w:rsid w:val="00A22338"/>
    <w:rsid w:val="00A2497B"/>
    <w:rsid w:val="00A41A99"/>
    <w:rsid w:val="00A55211"/>
    <w:rsid w:val="00A60278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3A9F"/>
    <w:rsid w:val="00B04CA9"/>
    <w:rsid w:val="00B07737"/>
    <w:rsid w:val="00B235C2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0BD2"/>
    <w:rsid w:val="00C15D86"/>
    <w:rsid w:val="00C34097"/>
    <w:rsid w:val="00C47479"/>
    <w:rsid w:val="00C55899"/>
    <w:rsid w:val="00C74A3F"/>
    <w:rsid w:val="00C76B15"/>
    <w:rsid w:val="00CA38B1"/>
    <w:rsid w:val="00CA4E89"/>
    <w:rsid w:val="00CB7E87"/>
    <w:rsid w:val="00CD152E"/>
    <w:rsid w:val="00CD1B2A"/>
    <w:rsid w:val="00CE4461"/>
    <w:rsid w:val="00CE7DA3"/>
    <w:rsid w:val="00CF4D9E"/>
    <w:rsid w:val="00D015A7"/>
    <w:rsid w:val="00D127ED"/>
    <w:rsid w:val="00D463A1"/>
    <w:rsid w:val="00D63736"/>
    <w:rsid w:val="00D71FF0"/>
    <w:rsid w:val="00D765CD"/>
    <w:rsid w:val="00D96AC2"/>
    <w:rsid w:val="00DA1240"/>
    <w:rsid w:val="00DA3A75"/>
    <w:rsid w:val="00DD3694"/>
    <w:rsid w:val="00DD7B5D"/>
    <w:rsid w:val="00DD7F22"/>
    <w:rsid w:val="00DE31B0"/>
    <w:rsid w:val="00DF2E17"/>
    <w:rsid w:val="00E210BB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7C3"/>
    <w:rsid w:val="00F677AA"/>
    <w:rsid w:val="00F76F93"/>
    <w:rsid w:val="00FA676B"/>
    <w:rsid w:val="00FB137A"/>
    <w:rsid w:val="00FB65E8"/>
    <w:rsid w:val="00FE516B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2015-09-02T20:41:00Z</cp:lastPrinted>
  <dcterms:created xsi:type="dcterms:W3CDTF">2015-09-08T17:33:00Z</dcterms:created>
  <dcterms:modified xsi:type="dcterms:W3CDTF">2015-10-01T17:48:00Z</dcterms:modified>
</cp:coreProperties>
</file>