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484" w:rsidRPr="005729C1" w:rsidRDefault="006D2484" w:rsidP="006D2484">
      <w:bookmarkStart w:id="0" w:name="_GoBack"/>
      <w:bookmarkEnd w:id="0"/>
    </w:p>
    <w:p w:rsidR="006D2484" w:rsidRPr="005729C1" w:rsidRDefault="006D2484" w:rsidP="006D2484"/>
    <w:p w:rsidR="006D2484" w:rsidRPr="005729C1" w:rsidRDefault="006D2484" w:rsidP="006D2484">
      <w:r w:rsidRPr="005729C1">
        <w:rPr>
          <w:noProof/>
        </w:rPr>
        <w:drawing>
          <wp:anchor distT="0" distB="0" distL="114300" distR="114300" simplePos="0" relativeHeight="251659264" behindDoc="0" locked="0" layoutInCell="1" allowOverlap="1">
            <wp:simplePos x="0" y="0"/>
            <wp:positionH relativeFrom="column">
              <wp:posOffset>2663190</wp:posOffset>
            </wp:positionH>
            <wp:positionV relativeFrom="paragraph">
              <wp:posOffset>-295275</wp:posOffset>
            </wp:positionV>
            <wp:extent cx="887730" cy="986155"/>
            <wp:effectExtent l="0" t="0" r="7620" b="4445"/>
            <wp:wrapSquare wrapText="r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0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7730" cy="9861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D2484" w:rsidRPr="005729C1" w:rsidRDefault="006D2484" w:rsidP="003E3194">
      <w:pPr>
        <w:ind w:left="284"/>
        <w:rPr>
          <w:lang w:val="es-PE"/>
        </w:rPr>
      </w:pPr>
    </w:p>
    <w:p w:rsidR="006D2484" w:rsidRPr="005729C1" w:rsidRDefault="006D2484" w:rsidP="006D2484"/>
    <w:p w:rsidR="006D2484" w:rsidRPr="005729C1" w:rsidRDefault="006D2484" w:rsidP="006D2484"/>
    <w:p w:rsidR="006D2484" w:rsidRPr="005729C1" w:rsidRDefault="006D2484" w:rsidP="006D2484">
      <w:pPr>
        <w:jc w:val="center"/>
        <w:rPr>
          <w:rFonts w:ascii="Bookman Old Style" w:hAnsi="Bookman Old Style"/>
        </w:rPr>
      </w:pPr>
      <w:r w:rsidRPr="005729C1">
        <w:rPr>
          <w:rFonts w:ascii="Bookman Old Style" w:hAnsi="Bookman Old Style"/>
        </w:rPr>
        <w:t>Estado do Rio Grande do Sul</w:t>
      </w:r>
    </w:p>
    <w:p w:rsidR="006D2484" w:rsidRPr="005729C1" w:rsidRDefault="006D2484" w:rsidP="006D2484">
      <w:pPr>
        <w:pStyle w:val="Ttulo1"/>
        <w:jc w:val="center"/>
        <w:rPr>
          <w:rFonts w:ascii="Bookman Old Style" w:hAnsi="Bookman Old Style"/>
          <w:sz w:val="24"/>
          <w:szCs w:val="24"/>
        </w:rPr>
      </w:pPr>
      <w:r w:rsidRPr="005729C1">
        <w:rPr>
          <w:rFonts w:ascii="Bookman Old Style" w:hAnsi="Bookman Old Style"/>
          <w:sz w:val="24"/>
          <w:szCs w:val="24"/>
        </w:rPr>
        <w:t>CÂMARA MUNICIPAL DE VEREADORES DE TRÊS PASSOS</w:t>
      </w:r>
    </w:p>
    <w:p w:rsidR="006D2484" w:rsidRPr="005729C1" w:rsidRDefault="006D2484" w:rsidP="006D2484">
      <w:pPr>
        <w:jc w:val="center"/>
      </w:pPr>
    </w:p>
    <w:p w:rsidR="006D2484" w:rsidRPr="005729C1" w:rsidRDefault="006D2484" w:rsidP="006D2484">
      <w:pPr>
        <w:pStyle w:val="Recuodecorpodetexto"/>
        <w:ind w:left="2700" w:hanging="2880"/>
        <w:jc w:val="both"/>
        <w:rPr>
          <w:b/>
          <w:bCs/>
        </w:rPr>
      </w:pPr>
      <w:r w:rsidRPr="005729C1">
        <w:rPr>
          <w:b/>
          <w:bCs/>
        </w:rPr>
        <w:t>ORIENTAÇÃO TÉCNICA</w:t>
      </w:r>
    </w:p>
    <w:p w:rsidR="006D2484" w:rsidRPr="005729C1" w:rsidRDefault="006D2484" w:rsidP="006D2484">
      <w:pPr>
        <w:pStyle w:val="Recuodecorpodetexto"/>
        <w:ind w:left="2700" w:hanging="2880"/>
        <w:jc w:val="both"/>
        <w:rPr>
          <w:b/>
          <w:bCs/>
        </w:rPr>
      </w:pPr>
    </w:p>
    <w:p w:rsidR="006D2484" w:rsidRPr="005729C1" w:rsidRDefault="006D2484" w:rsidP="006D2484">
      <w:pPr>
        <w:pStyle w:val="Recuodecorpodetexto"/>
        <w:ind w:left="-142" w:firstLine="850"/>
        <w:jc w:val="both"/>
        <w:rPr>
          <w:bCs/>
        </w:rPr>
      </w:pPr>
      <w:r w:rsidRPr="005729C1">
        <w:rPr>
          <w:bCs/>
        </w:rPr>
        <w:t>A Comissão de Orçamento, Finanças e Infra-Estrutura Urbana e rural, bem como a Comissão de Constituição, Redação e Bem-Estar Social solicitam orientação quanto ao projeto de Lei nº 12 de 2015, em situação assim descrita:</w:t>
      </w:r>
    </w:p>
    <w:p w:rsidR="006D2484" w:rsidRPr="005729C1" w:rsidRDefault="006D2484" w:rsidP="006D2484">
      <w:pPr>
        <w:pStyle w:val="Recuodecorpodetexto"/>
        <w:ind w:left="3060" w:hanging="3240"/>
        <w:jc w:val="both"/>
        <w:rPr>
          <w:b/>
          <w:bCs/>
        </w:rPr>
      </w:pPr>
    </w:p>
    <w:p w:rsidR="006D2484" w:rsidRPr="005729C1" w:rsidRDefault="0020397D" w:rsidP="006D2484">
      <w:pPr>
        <w:pStyle w:val="Recuodecorpodetexto"/>
        <w:ind w:left="3060" w:hanging="3240"/>
        <w:jc w:val="both"/>
        <w:rPr>
          <w:b/>
          <w:bCs/>
        </w:rPr>
      </w:pPr>
      <w:r>
        <w:rPr>
          <w:b/>
          <w:bCs/>
        </w:rPr>
        <w:t>PROJETO DE LEI Nº 014/15 – Autoriza o Poder Executivo Municipal a alterar o artigo 1º e 2º da Lei Municipal nº 3.277 de 12 de março de 1997 e o Artigo 1º da Lei 4.109, de 31 de outubro de 2007 e dá outras providências.</w:t>
      </w:r>
    </w:p>
    <w:p w:rsidR="006D2484" w:rsidRDefault="006D2484" w:rsidP="006D2484">
      <w:pPr>
        <w:pStyle w:val="Recuodecorpodetexto"/>
        <w:ind w:left="3060" w:hanging="3240"/>
        <w:jc w:val="both"/>
      </w:pPr>
    </w:p>
    <w:p w:rsidR="0020397D" w:rsidRPr="005729C1" w:rsidRDefault="0020397D" w:rsidP="006D2484">
      <w:pPr>
        <w:pStyle w:val="Recuodecorpodetexto"/>
        <w:ind w:left="3060" w:hanging="3240"/>
        <w:jc w:val="both"/>
      </w:pPr>
    </w:p>
    <w:p w:rsidR="003F13FE" w:rsidRDefault="003F13FE" w:rsidP="003F13FE">
      <w:pPr>
        <w:jc w:val="both"/>
        <w:rPr>
          <w:bCs/>
        </w:rPr>
      </w:pPr>
      <w:r>
        <w:rPr>
          <w:bCs/>
        </w:rPr>
        <w:tab/>
        <w:t xml:space="preserve">O Projeto de Lei visa alterar legislações já vigentes. A primeira alteração diz respeito à da Lei Municipal nº 3.277 de 12 de março de 1997, conferindo nova redação ao art. 1º que trata da renovação do “convênio” com o CIEE. Já ao art. 2º pretende estabelecer a fixação do número máximo de estudantes que poderão se beneficiar do estágio. </w:t>
      </w:r>
    </w:p>
    <w:p w:rsidR="0020397D" w:rsidRPr="0020397D" w:rsidRDefault="0020397D" w:rsidP="0020397D">
      <w:pPr>
        <w:ind w:firstLine="708"/>
        <w:jc w:val="both"/>
        <w:rPr>
          <w:bCs/>
        </w:rPr>
      </w:pPr>
      <w:r w:rsidRPr="0020397D">
        <w:rPr>
          <w:bCs/>
        </w:rPr>
        <w:t xml:space="preserve">Em relação ao aspecto formal do Projeto de Lei, tem-se pela constitucionalidade deste, eis que compete ao Prefeito Municipal dispor acerca de convênios e contratações a serem firmados pela Administração nos termos do art. 61 § 1º, II, “a”, CF. </w:t>
      </w:r>
    </w:p>
    <w:p w:rsidR="0020397D" w:rsidRDefault="0020397D" w:rsidP="0020397D">
      <w:pPr>
        <w:ind w:firstLine="708"/>
        <w:jc w:val="both"/>
        <w:rPr>
          <w:bCs/>
        </w:rPr>
      </w:pPr>
      <w:r w:rsidRPr="0020397D">
        <w:rPr>
          <w:bCs/>
        </w:rPr>
        <w:t>Já a jurisprudência do Supremo Tribunal Federal é firme no sentido de que a regra que subordina a celebração de acordos ou convênios firmados por órgãos do Poder Executivo à autorização prévia ou ratificação da Assembleia Legislativa, fere o princípio da independência e harmonia dos poderes (art. 2º, da C.F.). Nesse sentido, colacion</w:t>
      </w:r>
      <w:r>
        <w:rPr>
          <w:bCs/>
        </w:rPr>
        <w:t xml:space="preserve">a-se jurisprudências a seguir: </w:t>
      </w:r>
    </w:p>
    <w:p w:rsidR="0020397D" w:rsidRDefault="0020397D" w:rsidP="0020397D">
      <w:pPr>
        <w:ind w:firstLine="708"/>
        <w:jc w:val="both"/>
        <w:rPr>
          <w:bCs/>
        </w:rPr>
      </w:pPr>
    </w:p>
    <w:p w:rsidR="0020397D" w:rsidRPr="0020397D" w:rsidRDefault="0020397D" w:rsidP="0020397D">
      <w:pPr>
        <w:ind w:left="1134"/>
        <w:jc w:val="both"/>
        <w:rPr>
          <w:bCs/>
        </w:rPr>
      </w:pPr>
      <w:r w:rsidRPr="0020397D">
        <w:rPr>
          <w:bCs/>
        </w:rPr>
        <w:t xml:space="preserve">DIREITO CONSTITUCIONAL. CONVÊNIOS: AUTORIZAÇÃO OU RATIFICAÇÃO POR ASSEMBLÉIA LEGISLATIVA. USURPAÇÃO DE COMPETÊNCIA DO PODER EXECUTIVO. PRINCÍPIO DA SEPARAÇÃO DE PODERES. AÇÃO DIRETA DE INCONSTITUCIONALIDADE DO INCISO XXI DO ART. 54 DA CONSTITUIÇÃO DO ESTADO DO PARANA, QUE DIZ: "Compete, privativamente, à Assembléia legislativa: XXI - autorizar convênios a serem celebrados pelo Governo do Estado, com entidades de direito público ou privado e ratificar os que, por motivo de urgência e de relevante interesse público, forem efetivados sem essa autorização, desde que encaminhados à Assembléia Legislativa, nos noventa dias subseqüentes à sua celebração". 1. A jurisprudência do Supremo Tribunal Federal é firme no sentido de que a regra que subordina a celebração de acordos ou convênios firmados por órgãos do Poder Executivo à autorização prévia ou ratificação da Assembléia Legislativa, fere o princípio da independência e harmonia dos poderes (art. 2º, da C.F.). Precedentes. 2. Ação Direta julgada procedente para a declaração de inconstitucionalidade do inciso XXI do art. 54 da Constituição do Estado do Parana. (STF - ADI: 342 </w:t>
      </w:r>
      <w:r w:rsidR="00385E9E" w:rsidRPr="0020397D">
        <w:rPr>
          <w:bCs/>
        </w:rPr>
        <w:t>PR,</w:t>
      </w:r>
      <w:r w:rsidRPr="0020397D">
        <w:rPr>
          <w:bCs/>
        </w:rPr>
        <w:t xml:space="preserve"> Relator: SYDNEY SANCHES, Data de Julgamento: 06/02/2003, Tribunal Pleno, Data de Publicação: DJ 11-04-2003 PP-00025 EMENT VOL-02106-01 PP-00001)</w:t>
      </w:r>
    </w:p>
    <w:p w:rsidR="0020397D" w:rsidRPr="0020397D" w:rsidRDefault="0020397D" w:rsidP="0020397D">
      <w:pPr>
        <w:ind w:firstLine="708"/>
        <w:jc w:val="both"/>
        <w:rPr>
          <w:bCs/>
        </w:rPr>
      </w:pPr>
    </w:p>
    <w:p w:rsidR="0020397D" w:rsidRDefault="0020397D" w:rsidP="0020397D">
      <w:pPr>
        <w:ind w:firstLine="708"/>
        <w:jc w:val="both"/>
        <w:rPr>
          <w:bCs/>
        </w:rPr>
      </w:pPr>
      <w:r w:rsidRPr="0020397D">
        <w:rPr>
          <w:bCs/>
        </w:rPr>
        <w:lastRenderedPageBreak/>
        <w:t xml:space="preserve">Da mesma forma o TJ/RS considera ofensivo ao princípio da separação e independência dos Poderes a submissão à prévia aprovação do Legislativo de acordos e convênios em geral celebrados pelo Chefe do Poder Executivo, conforme </w:t>
      </w:r>
      <w:r>
        <w:rPr>
          <w:bCs/>
        </w:rPr>
        <w:t>transcreve-se ementas a seguir:</w:t>
      </w:r>
    </w:p>
    <w:p w:rsidR="0020397D" w:rsidRDefault="0020397D" w:rsidP="0020397D">
      <w:pPr>
        <w:ind w:firstLine="708"/>
        <w:jc w:val="both"/>
        <w:rPr>
          <w:bCs/>
        </w:rPr>
      </w:pPr>
    </w:p>
    <w:p w:rsidR="0020397D" w:rsidRPr="0020397D" w:rsidRDefault="0020397D" w:rsidP="0020397D">
      <w:pPr>
        <w:ind w:left="1134"/>
        <w:jc w:val="both"/>
        <w:rPr>
          <w:bCs/>
        </w:rPr>
      </w:pPr>
      <w:r w:rsidRPr="0020397D">
        <w:rPr>
          <w:bCs/>
        </w:rPr>
        <w:t xml:space="preserve">AÇÃO DIRETA DE INCONSTITUCIONALIDADE. MUNICÍPIO DE BENTO GONÇALVES. ARTIGO 24, § 1º, DA LEI MUNICIPAL Nº 5.130, DE 18 DE NOVEMBRO DE 2010 E ARTIGO 29, § 1º, DA LEI MUNICIPAL Nº 5.386, DE 18 DE NOVEMBRO DE 2011. CELEBRAÇÃO DE ACORDOS E CONVÊNIOS PELO CHEFE DO PODER EXECUTIVO. ATO DE COMPETÊNCIA PRIVATIVA. APROVAÇÃO PRÉVIA PELO PODER LEGISLATIVO. INCONSTITUCIONALIDADE. ART. 2º DA CONSTITUIÇÃO FEDERAL E ARTIGOS 5º E 10 DA CONSTITUIÇÃO ESTADUAL. Questão resolvida sem discrepância na jurisprudência deste Órgão Especial e do Supremo Tribunal Federal, reputando-se ofensiva ao princípio da separação e independência dos Poderes a submissão à prévia aprovação do Legislativo de acordos e convênios em geral celebrados pelo Chefe do Poder Executivo. Ato de competência privativa do Chefe do Poder Executivo, nos termos do artigo 84 da Constituição Federal e artigo 82, incs. II e XXI da Constituição Estadual. AÇÃO DIRETA DE INSCONSTITUCIONALIDADE JULGADA PROCEDENTE. UNÂNIME. (Ação Direta de Inconstitucionalidade Nº 70048988349, Tribunal Pleno, Tribunal de Justiça do RS, Relator: Eduardo Uhlein, Julgado em 12/08/2013) (TJ-RS - ADI: 70048988349 </w:t>
      </w:r>
      <w:r w:rsidR="00385E9E" w:rsidRPr="0020397D">
        <w:rPr>
          <w:bCs/>
        </w:rPr>
        <w:t>RS,</w:t>
      </w:r>
      <w:r w:rsidRPr="0020397D">
        <w:rPr>
          <w:bCs/>
        </w:rPr>
        <w:t xml:space="preserve"> Relator: Eduardo Uhlein, Data de Julgamento: 12/08/2013, Tribunal Pleno, Data de Publicação: Diário da Justiça do dia 19/08/2013)</w:t>
      </w:r>
    </w:p>
    <w:p w:rsidR="0020397D" w:rsidRPr="0020397D" w:rsidRDefault="0020397D" w:rsidP="0020397D">
      <w:pPr>
        <w:ind w:left="1134"/>
        <w:jc w:val="both"/>
        <w:rPr>
          <w:bCs/>
        </w:rPr>
      </w:pPr>
    </w:p>
    <w:p w:rsidR="0020397D" w:rsidRPr="0020397D" w:rsidRDefault="0020397D" w:rsidP="0020397D">
      <w:pPr>
        <w:ind w:left="1134"/>
        <w:jc w:val="both"/>
        <w:rPr>
          <w:bCs/>
        </w:rPr>
      </w:pPr>
      <w:r w:rsidRPr="0020397D">
        <w:rPr>
          <w:bCs/>
        </w:rPr>
        <w:t xml:space="preserve">AÇÃO DIRETA DE INCONSTITUCIONALIDADE. LEI ORGÂNICA DO MUNICÍPIO DE ARROIO DOS RATOS. CONDICIONAMENTO À PRÉVIA AUTORIZAÇÃO LEGISLATIVA PARA QUE O PREFEITO MUNICIPAL CELEBRE CONVÊNIOS E CONTRATOS DE INTERESSE MUNICIPAL. ATRIBUIÇÃO DE COMPETÊNCIA PRIVATIVA DO CHEFE DO PODER EXECUTIVO. O dispositivo da Lei Orgânica Municipal que condiciona à realização de convênios, consórcios e contratos, pela Administração dos Municípios, à aprovação do Poder Legislativo, é inconstitucional porque ofende ao princípio da separação dos </w:t>
      </w:r>
      <w:r w:rsidR="00385E9E" w:rsidRPr="0020397D">
        <w:rPr>
          <w:bCs/>
        </w:rPr>
        <w:t>poderes. AÇÃO</w:t>
      </w:r>
      <w:r w:rsidRPr="0020397D">
        <w:rPr>
          <w:bCs/>
        </w:rPr>
        <w:t xml:space="preserve"> DIRETA DE INCONSTITUCIONALIDADE JULGADA PROCEDENTE. UNÂNIME. (Ação Direta de Inconstitucionalidade Nº 70024600736, Tribunal Pleno, Tribunal de Justiça do RS, Relator: Alzir Felippe Schmitz, Julgado em 03/11/2008) (TJ-RS - ADI: 70024600736 </w:t>
      </w:r>
      <w:r w:rsidR="00385E9E" w:rsidRPr="0020397D">
        <w:rPr>
          <w:bCs/>
        </w:rPr>
        <w:t>RS,</w:t>
      </w:r>
      <w:r w:rsidRPr="0020397D">
        <w:rPr>
          <w:bCs/>
        </w:rPr>
        <w:t xml:space="preserve"> Relator: Alzir Felippe Schmitz, Data de Julgamento: 03/11/2008, Tribunal Pleno, Data de Publicação: Diário da Justiça do dia 04/12/2008).</w:t>
      </w:r>
    </w:p>
    <w:p w:rsidR="0020397D" w:rsidRPr="0020397D" w:rsidRDefault="0020397D" w:rsidP="0020397D">
      <w:pPr>
        <w:ind w:firstLine="708"/>
        <w:jc w:val="both"/>
        <w:rPr>
          <w:bCs/>
        </w:rPr>
      </w:pPr>
    </w:p>
    <w:p w:rsidR="0020397D" w:rsidRPr="0020397D" w:rsidRDefault="0020397D" w:rsidP="0020397D">
      <w:pPr>
        <w:ind w:firstLine="708"/>
        <w:jc w:val="both"/>
        <w:rPr>
          <w:bCs/>
        </w:rPr>
      </w:pPr>
      <w:r w:rsidRPr="0020397D">
        <w:rPr>
          <w:bCs/>
        </w:rPr>
        <w:t>Por outro lado, conforme art. 87, XXXII da Lei Orgânica do Município, o prefeito deverá dar ciência imediata à Câmara Municipal da assinatura de convênios firmados, nesse mesmo sentido determina o art. 116, § 2º da Lei 8.666/93.</w:t>
      </w:r>
    </w:p>
    <w:p w:rsidR="0020397D" w:rsidRPr="0020397D" w:rsidRDefault="0020397D" w:rsidP="0020397D">
      <w:pPr>
        <w:ind w:firstLine="708"/>
        <w:jc w:val="both"/>
        <w:rPr>
          <w:bCs/>
        </w:rPr>
      </w:pPr>
      <w:r w:rsidRPr="0020397D">
        <w:rPr>
          <w:bCs/>
        </w:rPr>
        <w:t xml:space="preserve">O convênio, portanto, é um ato de governo, de gestão, não cabendo a Câmara Municipal a prévia autorização ou ratificação tendo em vista o princípio da independência e harmonia dos poderes, mas apenas o acompanhamento e fiscalização na execução do mesmo.  </w:t>
      </w:r>
    </w:p>
    <w:p w:rsidR="0020397D" w:rsidRPr="0020397D" w:rsidRDefault="0020397D" w:rsidP="0020397D">
      <w:pPr>
        <w:ind w:firstLine="708"/>
        <w:jc w:val="both"/>
        <w:rPr>
          <w:bCs/>
        </w:rPr>
      </w:pPr>
      <w:r w:rsidRPr="0020397D">
        <w:rPr>
          <w:bCs/>
        </w:rPr>
        <w:t xml:space="preserve">Importante esclarecer que no caso concreto a administração poderá estabelecer uma relação diretamente com as instituições de ensino, caso em que não deverá haver remuneração pela seleção para estágio dentre os integrantes do corpo discente (alunos) do próprio estabelecimento </w:t>
      </w:r>
      <w:r w:rsidR="00385E9E" w:rsidRPr="0020397D">
        <w:rPr>
          <w:bCs/>
        </w:rPr>
        <w:t>de ensino</w:t>
      </w:r>
      <w:r w:rsidRPr="0020397D">
        <w:rPr>
          <w:bCs/>
        </w:rPr>
        <w:t xml:space="preserve">, caracterizando, assim, verdadeiro convênio. </w:t>
      </w:r>
    </w:p>
    <w:p w:rsidR="0020397D" w:rsidRPr="0020397D" w:rsidRDefault="0020397D" w:rsidP="0020397D">
      <w:pPr>
        <w:ind w:firstLine="708"/>
        <w:jc w:val="both"/>
        <w:rPr>
          <w:bCs/>
        </w:rPr>
      </w:pPr>
      <w:r w:rsidRPr="0020397D">
        <w:rPr>
          <w:bCs/>
        </w:rPr>
        <w:t xml:space="preserve">A instituição objetiva aprimorar o aprendizado dos alunos e por outro lado, o Município em atendimento a um interesse público, qualifica o munícipe para o mercado de trabalho. </w:t>
      </w:r>
    </w:p>
    <w:p w:rsidR="0020397D" w:rsidRPr="0020397D" w:rsidRDefault="0020397D" w:rsidP="0020397D">
      <w:pPr>
        <w:ind w:firstLine="708"/>
        <w:jc w:val="both"/>
        <w:rPr>
          <w:bCs/>
        </w:rPr>
      </w:pPr>
      <w:r w:rsidRPr="0020397D">
        <w:rPr>
          <w:bCs/>
        </w:rPr>
        <w:t xml:space="preserve">De outra forma, se a administração entender que a seleção dos estagiários terá melhor resultado se esta se der por meio de agente de integração como o CIEE, ainda que isso gere maiores custos, poderá fazê-lo, contudo, deverá subordinar às normas gerais de licitação. </w:t>
      </w:r>
    </w:p>
    <w:p w:rsidR="0020397D" w:rsidRPr="0020397D" w:rsidRDefault="0020397D" w:rsidP="0020397D">
      <w:pPr>
        <w:ind w:firstLine="708"/>
        <w:jc w:val="both"/>
        <w:rPr>
          <w:bCs/>
        </w:rPr>
      </w:pPr>
    </w:p>
    <w:p w:rsidR="0020397D" w:rsidRPr="0020397D" w:rsidRDefault="0020397D" w:rsidP="0020397D">
      <w:pPr>
        <w:ind w:firstLine="708"/>
        <w:jc w:val="both"/>
        <w:rPr>
          <w:bCs/>
        </w:rPr>
      </w:pPr>
      <w:r w:rsidRPr="0020397D">
        <w:rPr>
          <w:bCs/>
        </w:rPr>
        <w:t xml:space="preserve">Nesse mesmo sentido prevê a Lei nº 11.788 </w:t>
      </w:r>
      <w:r w:rsidR="00385E9E" w:rsidRPr="0020397D">
        <w:rPr>
          <w:bCs/>
        </w:rPr>
        <w:t>de 25</w:t>
      </w:r>
      <w:r w:rsidRPr="0020397D">
        <w:rPr>
          <w:bCs/>
        </w:rPr>
        <w:t xml:space="preserve"> DE SETEMBRO DE 2008, dispõe sobre o estágio de estudantes: </w:t>
      </w:r>
    </w:p>
    <w:p w:rsidR="0020397D" w:rsidRPr="0020397D" w:rsidRDefault="0020397D" w:rsidP="0020397D">
      <w:pPr>
        <w:ind w:firstLine="708"/>
        <w:jc w:val="both"/>
        <w:rPr>
          <w:bCs/>
        </w:rPr>
      </w:pPr>
    </w:p>
    <w:p w:rsidR="0020397D" w:rsidRPr="0020397D" w:rsidRDefault="0020397D" w:rsidP="0020397D">
      <w:pPr>
        <w:ind w:left="1134"/>
        <w:jc w:val="both"/>
        <w:rPr>
          <w:bCs/>
        </w:rPr>
      </w:pPr>
      <w:r w:rsidRPr="0020397D">
        <w:rPr>
          <w:bCs/>
        </w:rPr>
        <w:t xml:space="preserve">Art. </w:t>
      </w:r>
      <w:r w:rsidR="00385E9E" w:rsidRPr="0020397D">
        <w:rPr>
          <w:bCs/>
        </w:rPr>
        <w:t>5 As</w:t>
      </w:r>
      <w:r w:rsidRPr="0020397D">
        <w:rPr>
          <w:bCs/>
        </w:rPr>
        <w:t xml:space="preserve"> instituições de ensino e as partes cedentes de estágio podem, a seu critério, recorrer a serviços de agentes de integração públicos e privados, mediante condições acordadas em instrumento jurídico apropriado, devendo ser observada, no caso de contratação com recursos públicos, a legislação que estabelece as normas gerais de licitação.</w:t>
      </w:r>
    </w:p>
    <w:p w:rsidR="0020397D" w:rsidRPr="0020397D" w:rsidRDefault="0020397D" w:rsidP="0020397D">
      <w:pPr>
        <w:ind w:firstLine="708"/>
        <w:jc w:val="both"/>
        <w:rPr>
          <w:bCs/>
        </w:rPr>
      </w:pPr>
    </w:p>
    <w:p w:rsidR="0020397D" w:rsidRDefault="0020397D" w:rsidP="006D2484">
      <w:pPr>
        <w:jc w:val="both"/>
        <w:rPr>
          <w:bCs/>
        </w:rPr>
      </w:pPr>
      <w:r>
        <w:rPr>
          <w:bCs/>
        </w:rPr>
        <w:tab/>
      </w:r>
      <w:r w:rsidR="003F13FE">
        <w:rPr>
          <w:bCs/>
        </w:rPr>
        <w:t xml:space="preserve">Em relação ao número máximo de estagiários deverá ser observado o quadro máximo de pessoal, conforme dispõe o art. 17 da Lei nº 11.788, de 2008. </w:t>
      </w:r>
    </w:p>
    <w:p w:rsidR="003F13FE" w:rsidRDefault="003F13FE" w:rsidP="006D2484">
      <w:pPr>
        <w:jc w:val="both"/>
        <w:rPr>
          <w:bCs/>
        </w:rPr>
      </w:pPr>
      <w:r>
        <w:rPr>
          <w:bCs/>
        </w:rPr>
        <w:tab/>
        <w:t xml:space="preserve">Os servidores ocupantes de cargos em comissão são servidores públicos, portanto, devem ser considerado nos neste cálculo. São excluídos os agentes políticos eletivos e eventuais trabalhadores de empresas terceirizadas. Deste modo, é preciso que o Poder Legislativo faça a verificação do número de servidores no Poder Executivo de analisar se a norma projetada atende às previsões da lei federal. </w:t>
      </w:r>
    </w:p>
    <w:p w:rsidR="00781723" w:rsidRDefault="00890B1B" w:rsidP="006D2484">
      <w:pPr>
        <w:jc w:val="both"/>
        <w:rPr>
          <w:bCs/>
        </w:rPr>
      </w:pPr>
      <w:r>
        <w:rPr>
          <w:bCs/>
        </w:rPr>
        <w:tab/>
        <w:t>Cabe ressaltar</w:t>
      </w:r>
      <w:r w:rsidR="00781723">
        <w:rPr>
          <w:bCs/>
        </w:rPr>
        <w:t xml:space="preserve"> que entende-se que a utilização do agente de integração para viabilização de estágio de estudantes no âmbito da administração pública deve observar o disposto na Lei de Licitações (Lei nº 8.666, de 1993), mediante contrato de prestação de serviços.</w:t>
      </w:r>
    </w:p>
    <w:p w:rsidR="00781723" w:rsidRDefault="00781723" w:rsidP="006D2484">
      <w:pPr>
        <w:jc w:val="both"/>
        <w:rPr>
          <w:bCs/>
        </w:rPr>
      </w:pPr>
      <w:r>
        <w:rPr>
          <w:bCs/>
        </w:rPr>
        <w:tab/>
        <w:t xml:space="preserve">Nesta esteira, o fato o fato de ter-se autorização legislativa para a realização de “convênio” com o CIEE não afasta as exigências legais para essa forma de contratação como agente de integração. </w:t>
      </w:r>
    </w:p>
    <w:p w:rsidR="00781723" w:rsidRDefault="00781723" w:rsidP="006D2484">
      <w:pPr>
        <w:jc w:val="both"/>
        <w:rPr>
          <w:bCs/>
        </w:rPr>
      </w:pPr>
      <w:r>
        <w:rPr>
          <w:bCs/>
        </w:rPr>
        <w:tab/>
        <w:t xml:space="preserve">Entretanto, considerando que a proposição pretende somente alterar leis já vigentes, uma vez realizadas as verificações propostas nesta Orientação Técnica, o Projeto de Lei encontra-se viável para a tramitação. </w:t>
      </w:r>
    </w:p>
    <w:p w:rsidR="00985154" w:rsidRPr="005729C1" w:rsidRDefault="006D2484" w:rsidP="00781723">
      <w:pPr>
        <w:jc w:val="both"/>
        <w:rPr>
          <w:bCs/>
        </w:rPr>
      </w:pPr>
      <w:r w:rsidRPr="005729C1">
        <w:rPr>
          <w:bCs/>
        </w:rPr>
        <w:tab/>
      </w:r>
      <w:r w:rsidR="00985154">
        <w:rPr>
          <w:bCs/>
        </w:rPr>
        <w:t xml:space="preserve"> </w:t>
      </w:r>
    </w:p>
    <w:p w:rsidR="006D2484" w:rsidRPr="005729C1" w:rsidRDefault="006D2484" w:rsidP="006D2484">
      <w:pPr>
        <w:jc w:val="both"/>
      </w:pPr>
    </w:p>
    <w:p w:rsidR="006D2484" w:rsidRPr="005729C1" w:rsidRDefault="00781723" w:rsidP="006D2484">
      <w:pPr>
        <w:ind w:firstLine="708"/>
      </w:pPr>
      <w:r>
        <w:t>Três Passos, 1</w:t>
      </w:r>
      <w:r w:rsidR="006D2484" w:rsidRPr="005729C1">
        <w:t>2 de março de 2015</w:t>
      </w:r>
    </w:p>
    <w:p w:rsidR="006D2484" w:rsidRPr="005729C1" w:rsidRDefault="006D2484" w:rsidP="006D2484">
      <w:pPr>
        <w:ind w:firstLine="708"/>
      </w:pPr>
    </w:p>
    <w:p w:rsidR="006D2484" w:rsidRPr="005729C1" w:rsidRDefault="006D2484" w:rsidP="006D2484">
      <w:r w:rsidRPr="005729C1">
        <w:t>__________________________</w:t>
      </w:r>
      <w:r>
        <w:t>_____</w:t>
      </w:r>
    </w:p>
    <w:p w:rsidR="006D2484" w:rsidRPr="005729C1" w:rsidRDefault="006D2484" w:rsidP="006D2484">
      <w:r w:rsidRPr="005729C1">
        <w:t>CRISTINA KÄFER OAB/RS 86.351</w:t>
      </w:r>
    </w:p>
    <w:p w:rsidR="006D2484" w:rsidRPr="005729C1" w:rsidRDefault="006D2484" w:rsidP="006D2484">
      <w:r w:rsidRPr="005729C1">
        <w:t xml:space="preserve">      PROCURADORA JURÍDICA</w:t>
      </w:r>
    </w:p>
    <w:p w:rsidR="00EA10D6" w:rsidRDefault="00EA10D6"/>
    <w:sectPr w:rsidR="00EA10D6" w:rsidSect="003E3194">
      <w:pgSz w:w="11906" w:h="16838" w:code="9"/>
      <w:pgMar w:top="1134" w:right="1133" w:bottom="624" w:left="1276" w:header="624" w:footer="62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C91075"/>
    <w:multiLevelType w:val="hybridMultilevel"/>
    <w:tmpl w:val="1CC28B5C"/>
    <w:lvl w:ilvl="0" w:tplc="9756466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484"/>
    <w:rsid w:val="0020397D"/>
    <w:rsid w:val="002B264A"/>
    <w:rsid w:val="00385E9E"/>
    <w:rsid w:val="003C608C"/>
    <w:rsid w:val="003E3194"/>
    <w:rsid w:val="003F13FE"/>
    <w:rsid w:val="006D2484"/>
    <w:rsid w:val="00781723"/>
    <w:rsid w:val="00890B1B"/>
    <w:rsid w:val="00985154"/>
    <w:rsid w:val="00AD5D2E"/>
    <w:rsid w:val="00CD7088"/>
    <w:rsid w:val="00EA10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41D321-1CD6-4653-926D-197464D84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248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6D2484"/>
    <w:pPr>
      <w:keepNext/>
      <w:spacing w:before="240" w:after="60"/>
      <w:outlineLvl w:val="0"/>
    </w:pPr>
    <w:rPr>
      <w:rFonts w:ascii="Arial" w:hAnsi="Arial" w:cs="Arial"/>
      <w:b/>
      <w:bCs/>
      <w:kern w:val="32"/>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D2484"/>
    <w:rPr>
      <w:rFonts w:ascii="Arial" w:eastAsia="Times New Roman" w:hAnsi="Arial" w:cs="Arial"/>
      <w:b/>
      <w:bCs/>
      <w:kern w:val="32"/>
      <w:sz w:val="32"/>
      <w:szCs w:val="32"/>
      <w:lang w:eastAsia="pt-BR"/>
    </w:rPr>
  </w:style>
  <w:style w:type="paragraph" w:styleId="Recuodecorpodetexto">
    <w:name w:val="Body Text Indent"/>
    <w:basedOn w:val="Normal"/>
    <w:link w:val="RecuodecorpodetextoChar"/>
    <w:rsid w:val="006D2484"/>
    <w:pPr>
      <w:ind w:left="5580" w:hanging="5580"/>
    </w:pPr>
  </w:style>
  <w:style w:type="character" w:customStyle="1" w:styleId="RecuodecorpodetextoChar">
    <w:name w:val="Recuo de corpo de texto Char"/>
    <w:basedOn w:val="Fontepargpadro"/>
    <w:link w:val="Recuodecorpodetexto"/>
    <w:rsid w:val="006D2484"/>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3E3194"/>
    <w:rPr>
      <w:rFonts w:ascii="Segoe UI" w:hAnsi="Segoe UI" w:cs="Segoe UI"/>
      <w:sz w:val="18"/>
      <w:szCs w:val="18"/>
    </w:rPr>
  </w:style>
  <w:style w:type="character" w:customStyle="1" w:styleId="TextodebaloChar">
    <w:name w:val="Texto de balão Char"/>
    <w:basedOn w:val="Fontepargpadro"/>
    <w:link w:val="Textodebalo"/>
    <w:uiPriority w:val="99"/>
    <w:semiHidden/>
    <w:rsid w:val="003E3194"/>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1298</Words>
  <Characters>7011</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5</cp:revision>
  <cp:lastPrinted>2015-03-12T20:08:00Z</cp:lastPrinted>
  <dcterms:created xsi:type="dcterms:W3CDTF">2015-03-12T19:23:00Z</dcterms:created>
  <dcterms:modified xsi:type="dcterms:W3CDTF">2015-10-02T20:07:00Z</dcterms:modified>
</cp:coreProperties>
</file>