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F69" w:rsidRPr="004A23F3" w:rsidRDefault="00447978" w:rsidP="00AD6F69">
      <w:pPr>
        <w:jc w:val="both"/>
      </w:pPr>
      <w:r w:rsidRPr="004A23F3">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9525</wp:posOffset>
            </wp:positionV>
            <wp:extent cx="871855" cy="968375"/>
            <wp:effectExtent l="0" t="0" r="4445" b="3175"/>
            <wp:wrapSquare wrapText="right"/>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1855" cy="968375"/>
                    </a:xfrm>
                    <a:prstGeom prst="rect">
                      <a:avLst/>
                    </a:prstGeom>
                    <a:noFill/>
                    <a:ln>
                      <a:noFill/>
                    </a:ln>
                  </pic:spPr>
                </pic:pic>
              </a:graphicData>
            </a:graphic>
          </wp:anchor>
        </w:drawing>
      </w:r>
    </w:p>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Pr>
        <w:jc w:val="center"/>
        <w:rPr>
          <w:rFonts w:ascii="Bookman Old Style" w:hAnsi="Bookman Old Style"/>
        </w:rPr>
      </w:pPr>
      <w:r w:rsidRPr="004A23F3">
        <w:rPr>
          <w:rFonts w:ascii="Bookman Old Style" w:hAnsi="Bookman Old Style"/>
        </w:rPr>
        <w:t>Estado do Rio Grande do Sul</w:t>
      </w:r>
    </w:p>
    <w:p w:rsidR="00AD6F69" w:rsidRPr="008D49FD" w:rsidRDefault="00AD6F69" w:rsidP="00AD6F69">
      <w:pPr>
        <w:jc w:val="center"/>
        <w:rPr>
          <w:rFonts w:ascii="Bookman Old Style" w:hAnsi="Bookman Old Style"/>
          <w:b/>
        </w:rPr>
      </w:pPr>
      <w:r w:rsidRPr="004A23F3">
        <w:rPr>
          <w:rFonts w:ascii="Bookman Old Style" w:hAnsi="Bookman Old Style"/>
          <w:b/>
        </w:rPr>
        <w:t>CÂMARA MUNICIPAL DE VEREADORES DE TRÊS PASSOS</w:t>
      </w:r>
    </w:p>
    <w:p w:rsidR="00AD6F69" w:rsidRDefault="00AD6F69" w:rsidP="00AD6F69">
      <w:pPr>
        <w:pStyle w:val="Recuodecorpodetexto"/>
        <w:ind w:left="0" w:firstLine="0"/>
        <w:jc w:val="center"/>
        <w:rPr>
          <w:b/>
          <w:bCs/>
        </w:rPr>
      </w:pPr>
      <w:r w:rsidRPr="004A23F3">
        <w:rPr>
          <w:b/>
          <w:bCs/>
        </w:rPr>
        <w:t>PARECER DA COMISSÃO DE CONSTITUIÇÃO, REDAÇÃO E BEM-ESTAR SOCIAL.</w:t>
      </w:r>
    </w:p>
    <w:p w:rsidR="00AD6F69" w:rsidRPr="004A23F3" w:rsidRDefault="00AD6F69" w:rsidP="00AD6F69">
      <w:pPr>
        <w:pStyle w:val="Recuodecorpodetexto"/>
        <w:ind w:left="0" w:firstLine="0"/>
        <w:rPr>
          <w:b/>
          <w:bCs/>
        </w:rPr>
      </w:pPr>
    </w:p>
    <w:p w:rsidR="00AD6F69" w:rsidRDefault="00AD6F69" w:rsidP="00F1446D">
      <w:pPr>
        <w:pStyle w:val="Recuodecorpodetexto"/>
        <w:ind w:left="3238" w:hanging="3238"/>
      </w:pPr>
      <w:r w:rsidRPr="007450B1">
        <w:rPr>
          <w:b/>
        </w:rPr>
        <w:t>Processo:</w:t>
      </w:r>
      <w:r w:rsidR="00A5322D">
        <w:t xml:space="preserve"> nº 18</w:t>
      </w:r>
      <w:r w:rsidR="007A2A59">
        <w:t>/2016</w:t>
      </w:r>
      <w:r w:rsidR="00F1446D">
        <w:tab/>
      </w:r>
      <w:r w:rsidR="00F1446D">
        <w:tab/>
      </w:r>
      <w:r w:rsidR="00F1446D">
        <w:tab/>
      </w:r>
      <w:r w:rsidR="00F1446D">
        <w:tab/>
      </w:r>
      <w:r w:rsidRPr="007450B1">
        <w:rPr>
          <w:b/>
        </w:rPr>
        <w:t>Data:</w:t>
      </w:r>
      <w:r w:rsidR="003924B5">
        <w:t xml:space="preserve"> </w:t>
      </w:r>
      <w:r w:rsidR="002905B0">
        <w:t>18 de fevere</w:t>
      </w:r>
      <w:r w:rsidR="007A2A59">
        <w:t>iro</w:t>
      </w:r>
      <w:r w:rsidR="00770495">
        <w:t xml:space="preserve"> </w:t>
      </w:r>
      <w:r w:rsidR="007A2A59">
        <w:t>de 2016</w:t>
      </w:r>
    </w:p>
    <w:p w:rsidR="00AD6F69" w:rsidRDefault="00004A55" w:rsidP="00F1446D">
      <w:pPr>
        <w:pStyle w:val="Recuodecorpodetexto"/>
        <w:ind w:left="3238" w:hanging="3238"/>
      </w:pPr>
      <w:r>
        <w:rPr>
          <w:b/>
        </w:rPr>
        <w:t xml:space="preserve">Matéria: </w:t>
      </w:r>
      <w:r w:rsidR="008F3E80">
        <w:t>Mensagem nº</w:t>
      </w:r>
      <w:r w:rsidR="00A5322D">
        <w:t xml:space="preserve"> 15</w:t>
      </w:r>
      <w:r w:rsidR="002E3FD6">
        <w:t>/2016</w:t>
      </w:r>
      <w:r w:rsidR="00F1446D" w:rsidRPr="00004A55">
        <w:tab/>
      </w:r>
      <w:r>
        <w:tab/>
      </w:r>
      <w:r>
        <w:tab/>
      </w:r>
      <w:r w:rsidR="005E5789">
        <w:tab/>
      </w:r>
      <w:r w:rsidR="00AD6F69" w:rsidRPr="007450B1">
        <w:rPr>
          <w:b/>
        </w:rPr>
        <w:t>Autor:</w:t>
      </w:r>
      <w:r w:rsidR="00770495">
        <w:t xml:space="preserve"> Poder Executivo</w:t>
      </w:r>
      <w:r w:rsidR="00AD6F69">
        <w:tab/>
      </w:r>
    </w:p>
    <w:p w:rsidR="00AD6F69" w:rsidRPr="002513A5" w:rsidRDefault="00AD6F69" w:rsidP="00F1446D">
      <w:pPr>
        <w:pStyle w:val="Recuodecorpodetexto"/>
        <w:ind w:left="3238" w:hanging="3238"/>
      </w:pPr>
      <w:r w:rsidRPr="007450B1">
        <w:rPr>
          <w:b/>
        </w:rPr>
        <w:t>Relator:</w:t>
      </w:r>
      <w:r w:rsidR="005E5789">
        <w:t xml:space="preserve"> Ido Rhoden</w:t>
      </w:r>
      <w:r w:rsidR="00F1446D">
        <w:tab/>
      </w:r>
      <w:r w:rsidR="00F1446D">
        <w:tab/>
      </w:r>
      <w:r w:rsidR="00F1446D">
        <w:tab/>
      </w:r>
      <w:r w:rsidR="00F1446D">
        <w:tab/>
      </w:r>
      <w:r w:rsidRPr="007450B1">
        <w:rPr>
          <w:b/>
        </w:rPr>
        <w:t>Conclusão do Voto:</w:t>
      </w:r>
      <w:r>
        <w:t xml:space="preserve"> Favorável</w:t>
      </w:r>
    </w:p>
    <w:p w:rsidR="00B4220F" w:rsidRDefault="003924B5" w:rsidP="00F1446D">
      <w:pPr>
        <w:pStyle w:val="Recuodecorpodetexto"/>
        <w:ind w:left="3238" w:hanging="3238"/>
        <w:jc w:val="both"/>
        <w:rPr>
          <w:bCs/>
        </w:rPr>
      </w:pPr>
      <w:r>
        <w:rPr>
          <w:b/>
          <w:bCs/>
        </w:rPr>
        <w:t>Projeto de Lei</w:t>
      </w:r>
      <w:r w:rsidR="001C0FD5">
        <w:rPr>
          <w:b/>
          <w:bCs/>
        </w:rPr>
        <w:t xml:space="preserve"> </w:t>
      </w:r>
      <w:r w:rsidR="00AD6F69" w:rsidRPr="007450B1">
        <w:rPr>
          <w:b/>
          <w:bCs/>
        </w:rPr>
        <w:t>nº:</w:t>
      </w:r>
      <w:r w:rsidR="00A773AD">
        <w:rPr>
          <w:bCs/>
        </w:rPr>
        <w:t xml:space="preserve"> </w:t>
      </w:r>
      <w:r w:rsidR="00A5322D">
        <w:rPr>
          <w:bCs/>
        </w:rPr>
        <w:t>13</w:t>
      </w:r>
      <w:r w:rsidR="007A2A59">
        <w:rPr>
          <w:bCs/>
        </w:rPr>
        <w:t>/16</w:t>
      </w:r>
    </w:p>
    <w:p w:rsidR="00AD6F69" w:rsidRDefault="00AD6F69" w:rsidP="00AD6F69">
      <w:pPr>
        <w:pStyle w:val="Recuodecorpodetexto"/>
        <w:ind w:left="3060" w:hanging="3240"/>
        <w:jc w:val="both"/>
        <w:rPr>
          <w:bCs/>
        </w:rPr>
      </w:pPr>
    </w:p>
    <w:p w:rsidR="002905B0" w:rsidRPr="005C6167" w:rsidRDefault="00A5322D" w:rsidP="002905B0">
      <w:pPr>
        <w:pStyle w:val="Recuodecorpodetexto"/>
        <w:ind w:left="3060" w:hanging="3240"/>
        <w:jc w:val="both"/>
        <w:rPr>
          <w:bCs/>
        </w:rPr>
      </w:pPr>
      <w:r>
        <w:rPr>
          <w:bCs/>
        </w:rPr>
        <w:t>PROJETO DE LEI Nº 13</w:t>
      </w:r>
      <w:r w:rsidR="007A2A59" w:rsidRPr="007A2A59">
        <w:rPr>
          <w:bCs/>
        </w:rPr>
        <w:t>/16 –</w:t>
      </w:r>
      <w:r w:rsidR="005E5789" w:rsidRPr="005E5789">
        <w:rPr>
          <w:bCs/>
        </w:rPr>
        <w:t xml:space="preserve"> </w:t>
      </w:r>
      <w:r w:rsidRPr="00A5322D">
        <w:rPr>
          <w:bCs/>
        </w:rPr>
        <w:t xml:space="preserve">Dispõe sobre a efetivação do pagamento aos laboratórios clínicos, referente aos repasses de valores do Programa de Municipalização de Laboratórios, relativos aos Municípios de Bom Progresso e Esperança do Sul. </w:t>
      </w:r>
    </w:p>
    <w:p w:rsidR="00C929B5" w:rsidRPr="007A2A59" w:rsidRDefault="00C929B5" w:rsidP="002905B0">
      <w:pPr>
        <w:pStyle w:val="Recuodecorpodetexto"/>
        <w:ind w:left="0" w:firstLine="0"/>
        <w:jc w:val="both"/>
        <w:rPr>
          <w:bCs/>
        </w:rPr>
      </w:pPr>
    </w:p>
    <w:p w:rsidR="00447978" w:rsidRDefault="00AD6F69" w:rsidP="003C337D">
      <w:pPr>
        <w:jc w:val="both"/>
      </w:pPr>
      <w:r w:rsidRPr="00C55828">
        <w:rPr>
          <w:b/>
          <w:bCs/>
          <w:sz w:val="32"/>
        </w:rPr>
        <w:tab/>
      </w:r>
      <w:r w:rsidRPr="002324FA">
        <w:t>A Comissão de Constituição, Redação e Bem-Estar Social, por seus membros emite parecer ao projeto supra citado, conforme segue:</w:t>
      </w:r>
    </w:p>
    <w:p w:rsidR="003C337D" w:rsidRPr="003C337D" w:rsidRDefault="003C337D" w:rsidP="003C337D">
      <w:pPr>
        <w:jc w:val="both"/>
      </w:pPr>
    </w:p>
    <w:p w:rsidR="004F6099" w:rsidRDefault="00AD6F69" w:rsidP="007A2A59">
      <w:pPr>
        <w:jc w:val="center"/>
        <w:rPr>
          <w:b/>
          <w:bCs/>
        </w:rPr>
      </w:pPr>
      <w:r>
        <w:rPr>
          <w:b/>
          <w:bCs/>
        </w:rPr>
        <w:t>Relatório:</w:t>
      </w:r>
    </w:p>
    <w:p w:rsidR="00DD3694" w:rsidRDefault="00052047" w:rsidP="00DD3694">
      <w:pPr>
        <w:ind w:firstLine="708"/>
        <w:jc w:val="both"/>
        <w:rPr>
          <w:bCs/>
        </w:rPr>
      </w:pPr>
      <w:r>
        <w:rPr>
          <w:bCs/>
        </w:rPr>
        <w:t xml:space="preserve">O Projeto de Lei </w:t>
      </w:r>
      <w:r w:rsidR="00DD3694">
        <w:rPr>
          <w:bCs/>
        </w:rPr>
        <w:t>em análise, de Origem do Poder Executivo, foi li</w:t>
      </w:r>
      <w:r w:rsidR="00947611">
        <w:rPr>
          <w:bCs/>
        </w:rPr>
        <w:t xml:space="preserve">do na sessão ordinária </w:t>
      </w:r>
      <w:r w:rsidR="002905B0">
        <w:rPr>
          <w:bCs/>
        </w:rPr>
        <w:t>do dia 22</w:t>
      </w:r>
      <w:r w:rsidR="00EA39EB">
        <w:rPr>
          <w:bCs/>
        </w:rPr>
        <w:t>/02</w:t>
      </w:r>
      <w:r w:rsidR="007A2A59">
        <w:rPr>
          <w:bCs/>
        </w:rPr>
        <w:t>/2016</w:t>
      </w:r>
      <w:r w:rsidR="000D64F9">
        <w:rPr>
          <w:bCs/>
        </w:rPr>
        <w:t>.</w:t>
      </w:r>
    </w:p>
    <w:p w:rsidR="00880227" w:rsidRDefault="00880227" w:rsidP="00DD3694">
      <w:pPr>
        <w:ind w:firstLine="708"/>
        <w:jc w:val="both"/>
        <w:rPr>
          <w:bCs/>
        </w:rPr>
      </w:pPr>
      <w:r>
        <w:rPr>
          <w:bCs/>
        </w:rPr>
        <w:t xml:space="preserve">Solicitou-se orientação jurídica a qual transcreve-se a seguir: </w:t>
      </w:r>
    </w:p>
    <w:p w:rsidR="009F72F3" w:rsidRPr="009F72F3" w:rsidRDefault="009F72F3" w:rsidP="007A2A59">
      <w:pPr>
        <w:jc w:val="both"/>
        <w:rPr>
          <w:bCs/>
          <w:i/>
        </w:rPr>
      </w:pPr>
    </w:p>
    <w:p w:rsidR="00A5322D" w:rsidRPr="00A5322D" w:rsidRDefault="00A5322D" w:rsidP="00A5322D">
      <w:pPr>
        <w:ind w:left="1134" w:firstLine="708"/>
        <w:jc w:val="both"/>
        <w:rPr>
          <w:bCs/>
          <w:i/>
        </w:rPr>
      </w:pPr>
      <w:r w:rsidRPr="00A5322D">
        <w:rPr>
          <w:bCs/>
          <w:i/>
        </w:rPr>
        <w:t xml:space="preserve">Inicialmente cabe mencionar que a matéria em análise encontra-se prevista nas competências legislativas conferidas aos Municípios, conforme dispõe o art. 30 da Constituição Federal e o art. 4º da Lei Orgânica Municipal. </w:t>
      </w:r>
    </w:p>
    <w:p w:rsidR="00A5322D" w:rsidRPr="00A5322D" w:rsidRDefault="00A5322D" w:rsidP="00A5322D">
      <w:pPr>
        <w:ind w:left="1134" w:firstLine="708"/>
        <w:jc w:val="both"/>
        <w:rPr>
          <w:bCs/>
          <w:i/>
        </w:rPr>
      </w:pPr>
      <w:r w:rsidRPr="00A5322D">
        <w:rPr>
          <w:bCs/>
          <w:i/>
        </w:rPr>
        <w:t xml:space="preserve">Por sua vez, igualmente conclui-se que compete ao Prefeito Municipal dispor sobre a organização da Administração local, conforme dispõe o art. 87, VI da Lei Orgânica do Município. </w:t>
      </w:r>
    </w:p>
    <w:p w:rsidR="00A5322D" w:rsidRPr="00A5322D" w:rsidRDefault="00A5322D" w:rsidP="00A5322D">
      <w:pPr>
        <w:ind w:left="1134" w:firstLine="708"/>
        <w:jc w:val="both"/>
        <w:rPr>
          <w:bCs/>
          <w:i/>
        </w:rPr>
      </w:pPr>
      <w:r w:rsidRPr="00A5322D">
        <w:rPr>
          <w:bCs/>
          <w:i/>
        </w:rPr>
        <w:t xml:space="preserve">Portanto, a competência para deflagrar o processo legislativo em análise foi devidamente atendida, podendo ser realizada a análise de mérito. </w:t>
      </w:r>
    </w:p>
    <w:p w:rsidR="00A5322D" w:rsidRPr="00A5322D" w:rsidRDefault="00A5322D" w:rsidP="00A5322D">
      <w:pPr>
        <w:ind w:left="1134" w:firstLine="708"/>
        <w:jc w:val="both"/>
        <w:rPr>
          <w:bCs/>
          <w:i/>
        </w:rPr>
      </w:pPr>
      <w:r w:rsidRPr="00A5322D">
        <w:rPr>
          <w:bCs/>
          <w:i/>
        </w:rPr>
        <w:t xml:space="preserve">O Decreto nº7.508, de 28 de junho de 2011, que regulamenta a “Lei do SUS”, destaca-se: </w:t>
      </w:r>
    </w:p>
    <w:p w:rsidR="00A5322D" w:rsidRPr="00A5322D" w:rsidRDefault="00A5322D" w:rsidP="00A5322D">
      <w:pPr>
        <w:ind w:left="1134" w:firstLine="708"/>
        <w:jc w:val="both"/>
        <w:rPr>
          <w:bCs/>
          <w:i/>
        </w:rPr>
      </w:pPr>
    </w:p>
    <w:p w:rsidR="00A5322D" w:rsidRPr="00A5322D" w:rsidRDefault="00A5322D" w:rsidP="00A5322D">
      <w:pPr>
        <w:ind w:left="1134" w:firstLine="708"/>
        <w:jc w:val="both"/>
        <w:rPr>
          <w:bCs/>
          <w:i/>
        </w:rPr>
      </w:pPr>
      <w:r w:rsidRPr="00A5322D">
        <w:rPr>
          <w:bCs/>
          <w:i/>
        </w:rPr>
        <w:t>Art. 2º Para efeito deste Decreto, considera-se:</w:t>
      </w:r>
    </w:p>
    <w:p w:rsidR="00A5322D" w:rsidRPr="00A5322D" w:rsidRDefault="00A5322D" w:rsidP="00A5322D">
      <w:pPr>
        <w:ind w:left="1134" w:firstLine="708"/>
        <w:jc w:val="both"/>
        <w:rPr>
          <w:bCs/>
          <w:i/>
        </w:rPr>
      </w:pPr>
      <w:r w:rsidRPr="00A5322D">
        <w:rPr>
          <w:bCs/>
          <w:i/>
        </w:rPr>
        <w:t xml:space="preserve">I - Região de Saúde -espaço geográfico contínuo constituído por agrupamentos de Municípios limítrofes, delimitado a partir de identidades culturais, econômicas e sociais e de redes de comunicação e infraestrutura de transportes compartilhados, com a finalidade de integrar a organização, o planejamento e a execução de ações e serviços de saúde; </w:t>
      </w:r>
    </w:p>
    <w:p w:rsidR="00A5322D" w:rsidRPr="00A5322D" w:rsidRDefault="00A5322D" w:rsidP="00A5322D">
      <w:pPr>
        <w:ind w:left="1134" w:firstLine="708"/>
        <w:jc w:val="both"/>
        <w:rPr>
          <w:bCs/>
          <w:i/>
        </w:rPr>
      </w:pPr>
      <w:r w:rsidRPr="00A5322D">
        <w:rPr>
          <w:bCs/>
          <w:i/>
        </w:rPr>
        <w:t xml:space="preserve">II- Contrato Organizativo da Ação Pública da Saúde- acordo de colaboração firmado entre entes federativos com a finalidade de organizar e integrar as ações e serviços de saúde na rede regionalizada e hierarquizada, com definição de responsabilidades, indicadores e metas de saúde, critérios de avaliação de desempenho, recursos financeiros que serão </w:t>
      </w:r>
      <w:r w:rsidRPr="00A5322D">
        <w:rPr>
          <w:bCs/>
          <w:i/>
        </w:rPr>
        <w:lastRenderedPageBreak/>
        <w:t>disponibilizados, forma de controle e fiscalização  de  sua  execução  e  demais  elementos  necessários  à implementação integrada das ações e serviços de saúde;</w:t>
      </w:r>
    </w:p>
    <w:p w:rsidR="00A5322D" w:rsidRPr="00A5322D" w:rsidRDefault="00A5322D" w:rsidP="00A5322D">
      <w:pPr>
        <w:ind w:left="1134" w:firstLine="708"/>
        <w:jc w:val="both"/>
        <w:rPr>
          <w:bCs/>
          <w:i/>
        </w:rPr>
      </w:pPr>
      <w:r w:rsidRPr="00A5322D">
        <w:rPr>
          <w:bCs/>
          <w:i/>
        </w:rPr>
        <w:t>(...)</w:t>
      </w:r>
    </w:p>
    <w:p w:rsidR="00A5322D" w:rsidRPr="00A5322D" w:rsidRDefault="00A5322D" w:rsidP="00A5322D">
      <w:pPr>
        <w:ind w:left="1134" w:firstLine="708"/>
        <w:jc w:val="both"/>
        <w:rPr>
          <w:bCs/>
          <w:i/>
        </w:rPr>
      </w:pPr>
      <w:r w:rsidRPr="00A5322D">
        <w:rPr>
          <w:bCs/>
          <w:i/>
        </w:rPr>
        <w:t>IV- Comissões Intergestores - instâncias de pactuação consensualentre os entes federativos para definição das regras da gestão compartilhada do SUS;</w:t>
      </w:r>
    </w:p>
    <w:p w:rsidR="00A5322D" w:rsidRPr="00A5322D" w:rsidRDefault="00A5322D" w:rsidP="00A5322D">
      <w:pPr>
        <w:ind w:left="1134" w:firstLine="708"/>
        <w:jc w:val="both"/>
        <w:rPr>
          <w:bCs/>
          <w:i/>
        </w:rPr>
      </w:pPr>
      <w:r w:rsidRPr="00A5322D">
        <w:rPr>
          <w:bCs/>
          <w:i/>
        </w:rPr>
        <w:t>(...)</w:t>
      </w:r>
    </w:p>
    <w:p w:rsidR="00A5322D" w:rsidRPr="00A5322D" w:rsidRDefault="00A5322D" w:rsidP="00A5322D">
      <w:pPr>
        <w:ind w:left="1134" w:firstLine="708"/>
        <w:jc w:val="both"/>
        <w:rPr>
          <w:bCs/>
          <w:i/>
        </w:rPr>
      </w:pPr>
    </w:p>
    <w:p w:rsidR="00A5322D" w:rsidRPr="00A5322D" w:rsidRDefault="00A5322D" w:rsidP="00A5322D">
      <w:pPr>
        <w:ind w:left="1134" w:firstLine="708"/>
        <w:jc w:val="both"/>
        <w:rPr>
          <w:bCs/>
          <w:i/>
        </w:rPr>
      </w:pPr>
      <w:r w:rsidRPr="00A5322D">
        <w:rPr>
          <w:bCs/>
          <w:i/>
        </w:rPr>
        <w:t>Art.4ºAs Regiões   de   Saúde   serão   instituídas   pelo   Estado, em articulação com os Municípios, respeitadas as diretrizes gerais pactuadas na Comissão Intergestores Tripartite- CIT a que se refere o inciso I do art. 30.</w:t>
      </w:r>
    </w:p>
    <w:p w:rsidR="00A5322D" w:rsidRPr="00A5322D" w:rsidRDefault="00A5322D" w:rsidP="00A5322D">
      <w:pPr>
        <w:ind w:left="1134" w:firstLine="708"/>
        <w:jc w:val="both"/>
        <w:rPr>
          <w:bCs/>
          <w:i/>
        </w:rPr>
      </w:pPr>
      <w:r w:rsidRPr="00A5322D">
        <w:rPr>
          <w:bCs/>
          <w:i/>
        </w:rPr>
        <w:t>§1º Poderão ser instituídas Regiões de Saúde interestaduais, compostas por Municípios limítrofes, por ato conjunto dos respectivos Estados em articulação com os Municípios.</w:t>
      </w:r>
    </w:p>
    <w:p w:rsidR="00A5322D" w:rsidRPr="00A5322D" w:rsidRDefault="00A5322D" w:rsidP="00A5322D">
      <w:pPr>
        <w:ind w:left="1134" w:firstLine="708"/>
        <w:jc w:val="both"/>
        <w:rPr>
          <w:bCs/>
          <w:i/>
        </w:rPr>
      </w:pPr>
      <w:r w:rsidRPr="00A5322D">
        <w:rPr>
          <w:bCs/>
          <w:i/>
        </w:rPr>
        <w:t>(...)</w:t>
      </w:r>
    </w:p>
    <w:p w:rsidR="00A5322D" w:rsidRPr="00A5322D" w:rsidRDefault="00A5322D" w:rsidP="00A5322D">
      <w:pPr>
        <w:ind w:left="1134" w:firstLine="708"/>
        <w:jc w:val="both"/>
        <w:rPr>
          <w:bCs/>
          <w:i/>
        </w:rPr>
      </w:pPr>
    </w:p>
    <w:p w:rsidR="00A5322D" w:rsidRPr="00A5322D" w:rsidRDefault="00A5322D" w:rsidP="00A5322D">
      <w:pPr>
        <w:ind w:left="1134" w:firstLine="708"/>
        <w:jc w:val="both"/>
        <w:rPr>
          <w:bCs/>
          <w:i/>
        </w:rPr>
      </w:pPr>
      <w:r w:rsidRPr="00A5322D">
        <w:rPr>
          <w:bCs/>
          <w:i/>
        </w:rPr>
        <w:t>Art.6º As Regiões de Saúde serão referência para as transferências de recursos entre os entes federativos.</w:t>
      </w:r>
    </w:p>
    <w:p w:rsidR="00A5322D" w:rsidRPr="00A5322D" w:rsidRDefault="00A5322D" w:rsidP="00A5322D">
      <w:pPr>
        <w:ind w:left="1134" w:firstLine="708"/>
        <w:jc w:val="both"/>
        <w:rPr>
          <w:bCs/>
          <w:i/>
        </w:rPr>
      </w:pPr>
      <w:r w:rsidRPr="00A5322D">
        <w:rPr>
          <w:bCs/>
          <w:i/>
        </w:rPr>
        <w:t>Art.7º As Redes de Atenção à Saúde estarão compreendidas no âmbito de uma Região de Saúde, ou de várias delas, em consonância com diretrizes pactuadas nas Comissões Intergestores.</w:t>
      </w:r>
    </w:p>
    <w:p w:rsidR="00A5322D" w:rsidRPr="00A5322D" w:rsidRDefault="00A5322D" w:rsidP="00A5322D">
      <w:pPr>
        <w:ind w:left="1134" w:firstLine="708"/>
        <w:jc w:val="both"/>
        <w:rPr>
          <w:bCs/>
          <w:i/>
        </w:rPr>
      </w:pPr>
      <w:r w:rsidRPr="00A5322D">
        <w:rPr>
          <w:bCs/>
          <w:i/>
        </w:rPr>
        <w:t>Parágrafo único. Os entes   federativos   definirão os seguintes elementos em relação às Regiões de Saúde:</w:t>
      </w:r>
    </w:p>
    <w:p w:rsidR="00A5322D" w:rsidRPr="00A5322D" w:rsidRDefault="00A5322D" w:rsidP="00A5322D">
      <w:pPr>
        <w:ind w:left="1134" w:firstLine="708"/>
        <w:jc w:val="both"/>
        <w:rPr>
          <w:bCs/>
          <w:i/>
        </w:rPr>
      </w:pPr>
      <w:r w:rsidRPr="00A5322D">
        <w:rPr>
          <w:bCs/>
          <w:i/>
        </w:rPr>
        <w:t>I - seus limites geográficos;</w:t>
      </w:r>
    </w:p>
    <w:p w:rsidR="00A5322D" w:rsidRPr="00A5322D" w:rsidRDefault="00A5322D" w:rsidP="00A5322D">
      <w:pPr>
        <w:ind w:left="1134" w:firstLine="708"/>
        <w:jc w:val="both"/>
        <w:rPr>
          <w:bCs/>
          <w:i/>
        </w:rPr>
      </w:pPr>
      <w:r w:rsidRPr="00A5322D">
        <w:rPr>
          <w:bCs/>
          <w:i/>
        </w:rPr>
        <w:t>II - população usuária das ações e serviços;</w:t>
      </w:r>
    </w:p>
    <w:p w:rsidR="00A5322D" w:rsidRPr="00A5322D" w:rsidRDefault="00A5322D" w:rsidP="00A5322D">
      <w:pPr>
        <w:ind w:left="1134" w:firstLine="708"/>
        <w:jc w:val="both"/>
        <w:rPr>
          <w:bCs/>
          <w:i/>
        </w:rPr>
      </w:pPr>
      <w:r w:rsidRPr="00A5322D">
        <w:rPr>
          <w:bCs/>
          <w:i/>
        </w:rPr>
        <w:t>III - rol de ações e serviços que serão ofertados; e</w:t>
      </w:r>
    </w:p>
    <w:p w:rsidR="00A5322D" w:rsidRPr="00A5322D" w:rsidRDefault="00A5322D" w:rsidP="00A5322D">
      <w:pPr>
        <w:ind w:left="1134" w:firstLine="708"/>
        <w:jc w:val="both"/>
        <w:rPr>
          <w:bCs/>
          <w:i/>
        </w:rPr>
      </w:pPr>
      <w:r w:rsidRPr="00A5322D">
        <w:rPr>
          <w:bCs/>
          <w:i/>
        </w:rPr>
        <w:t>IV - respectivas responsabilidades, critérios de acessibilidade e escala para conformação dos serviços.</w:t>
      </w:r>
    </w:p>
    <w:p w:rsidR="00A5322D" w:rsidRPr="00A5322D" w:rsidRDefault="00A5322D" w:rsidP="00A5322D">
      <w:pPr>
        <w:ind w:left="1134" w:firstLine="708"/>
        <w:jc w:val="both"/>
        <w:rPr>
          <w:bCs/>
          <w:i/>
        </w:rPr>
      </w:pPr>
    </w:p>
    <w:p w:rsidR="00A5322D" w:rsidRPr="00A5322D" w:rsidRDefault="00A5322D" w:rsidP="00A5322D">
      <w:pPr>
        <w:ind w:left="1134" w:firstLine="708"/>
        <w:jc w:val="both"/>
        <w:rPr>
          <w:bCs/>
          <w:i/>
        </w:rPr>
      </w:pPr>
      <w:r w:rsidRPr="00A5322D">
        <w:rPr>
          <w:bCs/>
          <w:i/>
        </w:rPr>
        <w:t>(...)</w:t>
      </w:r>
    </w:p>
    <w:p w:rsidR="00A5322D" w:rsidRPr="00A5322D" w:rsidRDefault="00A5322D" w:rsidP="00A5322D">
      <w:pPr>
        <w:ind w:left="1134" w:firstLine="708"/>
        <w:jc w:val="both"/>
        <w:rPr>
          <w:bCs/>
          <w:i/>
        </w:rPr>
      </w:pPr>
      <w:r w:rsidRPr="00A5322D">
        <w:rPr>
          <w:bCs/>
          <w:i/>
        </w:rPr>
        <w:t>Art. 9º São Portas de Entrada às ações e aos serviços de saúde nas Redes de Atenção à Saúde os serviços:</w:t>
      </w:r>
    </w:p>
    <w:p w:rsidR="00A5322D" w:rsidRPr="00A5322D" w:rsidRDefault="00A5322D" w:rsidP="00A5322D">
      <w:pPr>
        <w:ind w:left="1134" w:firstLine="708"/>
        <w:jc w:val="both"/>
        <w:rPr>
          <w:bCs/>
          <w:i/>
        </w:rPr>
      </w:pPr>
      <w:r w:rsidRPr="00A5322D">
        <w:rPr>
          <w:bCs/>
          <w:i/>
        </w:rPr>
        <w:t>I - de atenção primária</w:t>
      </w:r>
    </w:p>
    <w:p w:rsidR="00A5322D" w:rsidRPr="00A5322D" w:rsidRDefault="00A5322D" w:rsidP="00A5322D">
      <w:pPr>
        <w:ind w:left="1134" w:firstLine="708"/>
        <w:jc w:val="both"/>
        <w:rPr>
          <w:bCs/>
          <w:i/>
        </w:rPr>
      </w:pPr>
      <w:r w:rsidRPr="00A5322D">
        <w:rPr>
          <w:bCs/>
          <w:i/>
        </w:rPr>
        <w:t xml:space="preserve">Art.10. Os serviços de atenção hospitalar e os ambulatoriais especializados, entre outros de maior complexidade </w:t>
      </w:r>
      <w:r w:rsidR="00692B68" w:rsidRPr="00A5322D">
        <w:rPr>
          <w:bCs/>
          <w:i/>
        </w:rPr>
        <w:t>e densidade</w:t>
      </w:r>
      <w:r w:rsidRPr="00A5322D">
        <w:rPr>
          <w:bCs/>
          <w:i/>
        </w:rPr>
        <w:t xml:space="preserve"> tecnológica, </w:t>
      </w:r>
      <w:r w:rsidR="00692B68" w:rsidRPr="00A5322D">
        <w:rPr>
          <w:bCs/>
          <w:i/>
        </w:rPr>
        <w:t>serão referenciados pelas</w:t>
      </w:r>
      <w:r w:rsidRPr="00A5322D">
        <w:rPr>
          <w:bCs/>
          <w:i/>
        </w:rPr>
        <w:t xml:space="preserve"> </w:t>
      </w:r>
      <w:r w:rsidR="00692B68" w:rsidRPr="00A5322D">
        <w:rPr>
          <w:bCs/>
          <w:i/>
        </w:rPr>
        <w:t>Portas de Entrada</w:t>
      </w:r>
      <w:r w:rsidRPr="00A5322D">
        <w:rPr>
          <w:bCs/>
          <w:i/>
        </w:rPr>
        <w:t xml:space="preserve"> </w:t>
      </w:r>
      <w:r w:rsidR="00692B68" w:rsidRPr="00A5322D">
        <w:rPr>
          <w:bCs/>
          <w:i/>
        </w:rPr>
        <w:t>de que</w:t>
      </w:r>
      <w:r w:rsidRPr="00A5322D">
        <w:rPr>
          <w:bCs/>
          <w:i/>
        </w:rPr>
        <w:t xml:space="preserve"> trata o art. 9°.</w:t>
      </w:r>
    </w:p>
    <w:p w:rsidR="00A5322D" w:rsidRPr="00A5322D" w:rsidRDefault="00A5322D" w:rsidP="00A5322D">
      <w:pPr>
        <w:ind w:left="1134" w:firstLine="708"/>
        <w:jc w:val="both"/>
        <w:rPr>
          <w:bCs/>
          <w:i/>
        </w:rPr>
      </w:pPr>
    </w:p>
    <w:p w:rsidR="00A5322D" w:rsidRPr="00A5322D" w:rsidRDefault="00A5322D" w:rsidP="00A5322D">
      <w:pPr>
        <w:ind w:left="1134" w:firstLine="708"/>
        <w:jc w:val="both"/>
        <w:rPr>
          <w:bCs/>
          <w:i/>
        </w:rPr>
      </w:pPr>
      <w:r w:rsidRPr="00A5322D">
        <w:rPr>
          <w:bCs/>
          <w:i/>
        </w:rPr>
        <w:t>Art. 32. As Comissões Intergestores pactuarão:</w:t>
      </w:r>
    </w:p>
    <w:p w:rsidR="00A5322D" w:rsidRPr="00A5322D" w:rsidRDefault="00A5322D" w:rsidP="00A5322D">
      <w:pPr>
        <w:ind w:left="1134" w:firstLine="708"/>
        <w:jc w:val="both"/>
        <w:rPr>
          <w:bCs/>
          <w:i/>
        </w:rPr>
      </w:pPr>
      <w:r w:rsidRPr="00A5322D">
        <w:rPr>
          <w:bCs/>
          <w:i/>
        </w:rPr>
        <w:t>(...)</w:t>
      </w:r>
    </w:p>
    <w:p w:rsidR="00A5322D" w:rsidRPr="00A5322D" w:rsidRDefault="00A5322D" w:rsidP="00A5322D">
      <w:pPr>
        <w:ind w:left="1134" w:firstLine="708"/>
        <w:jc w:val="both"/>
        <w:rPr>
          <w:bCs/>
          <w:i/>
        </w:rPr>
      </w:pPr>
      <w:r w:rsidRPr="00A5322D">
        <w:rPr>
          <w:bCs/>
          <w:i/>
        </w:rPr>
        <w:t>II - diretrizes gerais sobre Regiões de Saúde, integração de limites geográficos, referência e contrarreferência</w:t>
      </w:r>
      <w:bookmarkStart w:id="0" w:name="_GoBack"/>
      <w:bookmarkEnd w:id="0"/>
      <w:r w:rsidRPr="00A5322D">
        <w:rPr>
          <w:bCs/>
          <w:i/>
        </w:rPr>
        <w:t xml:space="preserve"> e demais aspectos vinculados à integração das ações e serviços de saúde entre os entes federativos; (grifou-se)</w:t>
      </w:r>
    </w:p>
    <w:p w:rsidR="00A5322D" w:rsidRPr="00A5322D" w:rsidRDefault="00A5322D" w:rsidP="00A5322D">
      <w:pPr>
        <w:ind w:left="1134" w:firstLine="708"/>
        <w:jc w:val="both"/>
        <w:rPr>
          <w:bCs/>
          <w:i/>
        </w:rPr>
      </w:pPr>
    </w:p>
    <w:p w:rsidR="00A5322D" w:rsidRPr="00A5322D" w:rsidRDefault="00A5322D" w:rsidP="00A5322D">
      <w:pPr>
        <w:ind w:left="1134" w:firstLine="708"/>
        <w:jc w:val="both"/>
        <w:rPr>
          <w:bCs/>
          <w:i/>
        </w:rPr>
      </w:pPr>
      <w:r w:rsidRPr="00A5322D">
        <w:rPr>
          <w:bCs/>
          <w:i/>
        </w:rPr>
        <w:t>Destarte, considerando que os Municípios são a “porta de entrada” dos usuários nos serviços públicos de saúde, como atenção básica ou primária, bem como para referenciamento do atendimento e, ainda, que os documentos que instruem a consulta aludem a uma resolução da comissão intergestora regional, infere-se regularidade da ação de cooperação entre Municípios descritas no termo.</w:t>
      </w:r>
    </w:p>
    <w:p w:rsidR="00A5322D" w:rsidRPr="00A5322D" w:rsidRDefault="00A5322D" w:rsidP="00A5322D">
      <w:pPr>
        <w:ind w:left="1134" w:firstLine="708"/>
        <w:jc w:val="both"/>
        <w:rPr>
          <w:bCs/>
          <w:i/>
        </w:rPr>
      </w:pPr>
      <w:r w:rsidRPr="00A5322D">
        <w:rPr>
          <w:bCs/>
          <w:i/>
        </w:rPr>
        <w:lastRenderedPageBreak/>
        <w:t>Nessa linha cabe apresentar o exposto também pelo art. 21 da Lei Complementar nº 141, de 13 de janeiro de 2012 que possibilita aos Municípios trabalharem em conjunto pela prestação de serviços de saúde a população, devendo esta porém ser realizada de acordo com as normas legais de Direto Público:</w:t>
      </w:r>
    </w:p>
    <w:p w:rsidR="00A5322D" w:rsidRPr="00A5322D" w:rsidRDefault="00A5322D" w:rsidP="00A5322D">
      <w:pPr>
        <w:ind w:left="1134" w:firstLine="708"/>
        <w:jc w:val="both"/>
        <w:rPr>
          <w:bCs/>
          <w:i/>
        </w:rPr>
      </w:pPr>
    </w:p>
    <w:p w:rsidR="00A5322D" w:rsidRPr="00A5322D" w:rsidRDefault="00A5322D" w:rsidP="00A5322D">
      <w:pPr>
        <w:ind w:left="1134" w:firstLine="708"/>
        <w:jc w:val="both"/>
        <w:rPr>
          <w:bCs/>
          <w:i/>
        </w:rPr>
      </w:pPr>
      <w:r w:rsidRPr="00A5322D">
        <w:rPr>
          <w:bCs/>
          <w:i/>
        </w:rPr>
        <w:t>Art. 21. Os Estados e os Municípios que estabelecerem consórcios ou outras formas legais de cooperativismo, para a execução conjunta de ações e serviços de saúde e cumprimento da diretriz constitucional de regionalização e hierarquização da rede de serviços, poderão remanejar entre si parcelas dos recursos dos Fundos de Saúde derivadas tanto de receitas próprias como de transferências obrigatórias, que serão administradas segundo modalidade gerencial pactuada pelos entes envolvidos.</w:t>
      </w:r>
    </w:p>
    <w:p w:rsidR="00A5322D" w:rsidRPr="00A5322D" w:rsidRDefault="00A5322D" w:rsidP="00A5322D">
      <w:pPr>
        <w:ind w:left="1134" w:firstLine="708"/>
        <w:jc w:val="both"/>
        <w:rPr>
          <w:bCs/>
          <w:i/>
        </w:rPr>
      </w:pPr>
    </w:p>
    <w:p w:rsidR="00A5322D" w:rsidRPr="00A5322D" w:rsidRDefault="00A5322D" w:rsidP="00A5322D">
      <w:pPr>
        <w:ind w:left="1134" w:firstLine="708"/>
        <w:jc w:val="both"/>
        <w:rPr>
          <w:bCs/>
          <w:i/>
        </w:rPr>
      </w:pPr>
      <w:r w:rsidRPr="00A5322D">
        <w:rPr>
          <w:bCs/>
          <w:i/>
        </w:rPr>
        <w:t xml:space="preserve">Parágrafo único. A modalidade gerencial referida no caput deverá estar em consonância com os preceitos do Direito Administrativo Público, com os princípios inscritos na Lei nº 8.080, de 19 de setembro de 1990, na Lei no 8.142, de 28 de dezembro de 1990, e na Lei 11.107, de 6 de abril de 2005, e com as normas do SUS pactuadas na comissão intergestores tripartite e aprovadas pelo Conselho Nacional de Saúde. </w:t>
      </w:r>
    </w:p>
    <w:p w:rsidR="00A5322D" w:rsidRPr="00A5322D" w:rsidRDefault="00A5322D" w:rsidP="00A5322D">
      <w:pPr>
        <w:ind w:left="1134" w:firstLine="708"/>
        <w:jc w:val="both"/>
        <w:rPr>
          <w:bCs/>
          <w:i/>
        </w:rPr>
      </w:pPr>
    </w:p>
    <w:p w:rsidR="00A5322D" w:rsidRPr="00A5322D" w:rsidRDefault="00A5322D" w:rsidP="00A5322D">
      <w:pPr>
        <w:ind w:left="1134" w:firstLine="708"/>
        <w:jc w:val="both"/>
        <w:rPr>
          <w:bCs/>
          <w:i/>
        </w:rPr>
      </w:pPr>
      <w:r w:rsidRPr="00A5322D">
        <w:rPr>
          <w:bCs/>
          <w:i/>
        </w:rPr>
        <w:t xml:space="preserve">Assim, os recursos que o Município recebe através da Portaria CIB/RS no 225, de 24 de agosto de 2015, fazem parte do Bloco de Financiamento da Média e Alta Complexidade (MAC), com o objetivo de assumir a gestão dos estabelecimentos de  saúde caracterizados  como  laboratório  de  análises  clínicas  e/ou  serviços ambulatoriais isolados  (fora  de  hospitais)  de  diagnósticos  por  imagem  e  traçados gráficos, localizados  em  seus  territórios,  sendo  referência  de  atendimento  as populações dos Municípios de Bom Progresso e Esperança do Sul. </w:t>
      </w:r>
    </w:p>
    <w:p w:rsidR="00A5322D" w:rsidRPr="00A5322D" w:rsidRDefault="00A5322D" w:rsidP="00A5322D">
      <w:pPr>
        <w:ind w:left="1134" w:firstLine="708"/>
        <w:jc w:val="both"/>
        <w:rPr>
          <w:bCs/>
          <w:i/>
        </w:rPr>
      </w:pPr>
      <w:r w:rsidRPr="00A5322D">
        <w:rPr>
          <w:bCs/>
          <w:i/>
        </w:rPr>
        <w:t xml:space="preserve">Portanto, o Município de Três Passos, assume a responsabilidade através do seu gestor municipal pelo processamento da produção, bem como pela contratação e pelo pagamento dos prestadores privados que foram contratados para realizar estes serviços, conforme disposto na Portaria abaixo citada:  </w:t>
      </w:r>
    </w:p>
    <w:p w:rsidR="00A5322D" w:rsidRPr="00A5322D" w:rsidRDefault="00A5322D" w:rsidP="00A5322D">
      <w:pPr>
        <w:ind w:left="1134" w:firstLine="708"/>
        <w:jc w:val="both"/>
        <w:rPr>
          <w:bCs/>
          <w:i/>
        </w:rPr>
      </w:pPr>
      <w:r w:rsidRPr="00A5322D">
        <w:rPr>
          <w:bCs/>
          <w:i/>
        </w:rPr>
        <w:t>Art. 1º Autorizar o remanejo de recurso financeiro federal do Bloco de Financiamento MAC, sob gestão estadual, para custeio de procedimentos de diagnóstico em laboratório clínico, do Fundo Nacional de Saúde para o Fundo Municipal de Saúde de Três Passos, destacando a responsabilidade do gestor municipal pelo processamento da produção, bem como contratação e pagamento dos prestadores privados.</w:t>
      </w:r>
    </w:p>
    <w:p w:rsidR="00A5322D" w:rsidRPr="00A5322D" w:rsidRDefault="00A5322D" w:rsidP="00A5322D">
      <w:pPr>
        <w:ind w:left="1134" w:firstLine="708"/>
        <w:jc w:val="both"/>
        <w:rPr>
          <w:bCs/>
          <w:i/>
        </w:rPr>
      </w:pPr>
    </w:p>
    <w:p w:rsidR="00A5322D" w:rsidRPr="00A5322D" w:rsidRDefault="00A5322D" w:rsidP="00A5322D">
      <w:pPr>
        <w:ind w:left="1134" w:firstLine="708"/>
        <w:jc w:val="both"/>
        <w:rPr>
          <w:bCs/>
          <w:i/>
        </w:rPr>
      </w:pPr>
      <w:r w:rsidRPr="00A5322D">
        <w:rPr>
          <w:bCs/>
          <w:i/>
        </w:rPr>
        <w:t>Art. 2º O remanejo, a partir da competência outubro de 2015, totaliza o valor anual de R$ 212.706,00 (duzentos e doze mil, setecentos e seis reais), mensal de R$ 17.725,50 (dezessete mil, setecentos e vinte e cinco reais e cinquenta centavos).</w:t>
      </w:r>
    </w:p>
    <w:p w:rsidR="00A5322D" w:rsidRPr="00A5322D" w:rsidRDefault="00A5322D" w:rsidP="00A5322D">
      <w:pPr>
        <w:ind w:left="1134" w:firstLine="708"/>
        <w:jc w:val="both"/>
        <w:rPr>
          <w:bCs/>
          <w:i/>
        </w:rPr>
      </w:pPr>
      <w:r w:rsidRPr="00A5322D">
        <w:rPr>
          <w:bCs/>
          <w:i/>
        </w:rPr>
        <w:t xml:space="preserve">Parágrafo Único – A memória de cálculo do recurso a ser remanejado consta no Anexo desta Resolução. </w:t>
      </w:r>
    </w:p>
    <w:p w:rsidR="00A5322D" w:rsidRPr="00A5322D" w:rsidRDefault="00A5322D" w:rsidP="00A5322D">
      <w:pPr>
        <w:ind w:left="1134" w:firstLine="708"/>
        <w:jc w:val="both"/>
        <w:rPr>
          <w:bCs/>
          <w:i/>
        </w:rPr>
      </w:pPr>
    </w:p>
    <w:p w:rsidR="00A5322D" w:rsidRPr="00A5322D" w:rsidRDefault="00A5322D" w:rsidP="00A5322D">
      <w:pPr>
        <w:ind w:left="1134" w:firstLine="708"/>
        <w:jc w:val="both"/>
        <w:rPr>
          <w:bCs/>
          <w:i/>
        </w:rPr>
      </w:pPr>
      <w:r w:rsidRPr="00A5322D">
        <w:rPr>
          <w:bCs/>
          <w:i/>
        </w:rPr>
        <w:t xml:space="preserve">Art. 3º O município de Três Passos será referência para a população dos   municípios   de   Bom   Progresso   e   Esperança   do   Sul, para realização de diagnóstico em laboratório clínico. </w:t>
      </w:r>
    </w:p>
    <w:p w:rsidR="00A5322D" w:rsidRPr="00A5322D" w:rsidRDefault="00A5322D" w:rsidP="00A5322D">
      <w:pPr>
        <w:ind w:left="1134" w:firstLine="708"/>
        <w:jc w:val="both"/>
        <w:rPr>
          <w:bCs/>
          <w:i/>
        </w:rPr>
      </w:pPr>
    </w:p>
    <w:p w:rsidR="00A5322D" w:rsidRPr="00A5322D" w:rsidRDefault="00A5322D" w:rsidP="00A5322D">
      <w:pPr>
        <w:ind w:left="1134" w:firstLine="708"/>
        <w:jc w:val="both"/>
        <w:rPr>
          <w:bCs/>
          <w:i/>
        </w:rPr>
      </w:pPr>
      <w:r w:rsidRPr="00A5322D">
        <w:rPr>
          <w:bCs/>
          <w:i/>
        </w:rPr>
        <w:t xml:space="preserve">Verifica-se, que o Poder Executivo Municipal perante a sua população e dos Municípios de Bom Progresso e Esperança do Sul, necessita manter em pleno funcionamento os serviços de diagnóstico em laboratórios clínicos, os quais deverão ter capacidade técnica e qualificada para o atendimento. </w:t>
      </w:r>
    </w:p>
    <w:p w:rsidR="00A5322D" w:rsidRPr="00A5322D" w:rsidRDefault="00A5322D" w:rsidP="00A5322D">
      <w:pPr>
        <w:ind w:left="1134" w:firstLine="708"/>
        <w:jc w:val="both"/>
        <w:rPr>
          <w:bCs/>
          <w:i/>
        </w:rPr>
      </w:pPr>
      <w:r w:rsidRPr="00A5322D">
        <w:rPr>
          <w:bCs/>
          <w:i/>
        </w:rPr>
        <w:t>Cabe lembrar que o Município, para realizar as contratações dos laboratórios, deverá para tanto observar os ritos expressos na Lei n 8.666, de 1993 (Lei de Licitações).</w:t>
      </w:r>
    </w:p>
    <w:p w:rsidR="00A5322D" w:rsidRPr="00A5322D" w:rsidRDefault="00A5322D" w:rsidP="00A5322D">
      <w:pPr>
        <w:ind w:left="1134" w:firstLine="708"/>
        <w:jc w:val="both"/>
        <w:rPr>
          <w:bCs/>
          <w:i/>
        </w:rPr>
      </w:pPr>
      <w:r w:rsidRPr="00A5322D">
        <w:rPr>
          <w:bCs/>
          <w:i/>
        </w:rPr>
        <w:t>Quanto aos serviços prestados nos meses anteriores a elaboração da Lei Municipal  e o  qual  o Município não realizou os pagamentos,  estes deverão ser realizados,  podendo  utilizar  os  recursos  recebidos  para  o  pagamento  destes procedimentos,  pois o  Município  tem  por  obrigação honrar  com  os  compromissos financeiros com fornecedores e servidores, independentemente se recebeu ou não os recursos  vinculados  a  que  tem  direito,  até  mesmo  para  não  infringir  o  exposto  na Portaria GM no 204, de 2007, onde apresenta:</w:t>
      </w:r>
    </w:p>
    <w:p w:rsidR="00A5322D" w:rsidRPr="00A5322D" w:rsidRDefault="00A5322D" w:rsidP="00A5322D">
      <w:pPr>
        <w:ind w:left="1134" w:firstLine="708"/>
        <w:jc w:val="both"/>
        <w:rPr>
          <w:bCs/>
          <w:i/>
        </w:rPr>
      </w:pPr>
    </w:p>
    <w:p w:rsidR="00A5322D" w:rsidRPr="00A5322D" w:rsidRDefault="00A5322D" w:rsidP="00A5322D">
      <w:pPr>
        <w:ind w:left="1134" w:firstLine="708"/>
        <w:jc w:val="both"/>
        <w:rPr>
          <w:bCs/>
          <w:i/>
        </w:rPr>
      </w:pPr>
      <w:r w:rsidRPr="00A5322D">
        <w:rPr>
          <w:bCs/>
          <w:i/>
        </w:rPr>
        <w:t>Art. 37. As transferências fundo a fundo do Ministério da Saúde para os Estados, Distrito Federal e os Municípios serão suspensas nas seguintes situações:</w:t>
      </w:r>
    </w:p>
    <w:p w:rsidR="00A5322D" w:rsidRPr="00A5322D" w:rsidRDefault="00A5322D" w:rsidP="00A5322D">
      <w:pPr>
        <w:ind w:left="1134" w:firstLine="708"/>
        <w:jc w:val="both"/>
        <w:rPr>
          <w:bCs/>
          <w:i/>
        </w:rPr>
      </w:pPr>
      <w:r w:rsidRPr="00A5322D">
        <w:rPr>
          <w:bCs/>
          <w:i/>
        </w:rPr>
        <w:t>(...) II - referentes  ao bloco  da Atenção  de  Média  e  Alta  Complexidade Ambulatorial    e    Hospitalar, quando    do não – pagamento aos prestadores   de   serviços   públicos   ou   privados,   hospitalares   e ambulatoriais,  até  o  quinto  dia  útil,  após  o  Ministério  da  Saúde creditar      na     conta     bancária      do     Fundo Estadual/Distrito Federal/Municipal  de  Saúde  e  disponibilizar  os  arquivos  de processamento  do  SIH/SUS,  no  BBS/MS,  excetuando-se  as situações excepcionais devidamente justificadas;</w:t>
      </w:r>
    </w:p>
    <w:p w:rsidR="00A5322D" w:rsidRPr="00A5322D" w:rsidRDefault="00A5322D" w:rsidP="00A5322D">
      <w:pPr>
        <w:ind w:left="1134" w:firstLine="708"/>
        <w:jc w:val="both"/>
        <w:rPr>
          <w:bCs/>
          <w:i/>
        </w:rPr>
      </w:pPr>
    </w:p>
    <w:p w:rsidR="00A5322D" w:rsidRPr="00A5322D" w:rsidRDefault="00A5322D" w:rsidP="00A5322D">
      <w:pPr>
        <w:ind w:left="1134" w:firstLine="708"/>
        <w:jc w:val="both"/>
        <w:rPr>
          <w:bCs/>
          <w:i/>
        </w:rPr>
      </w:pPr>
      <w:r w:rsidRPr="00A5322D">
        <w:rPr>
          <w:bCs/>
          <w:i/>
        </w:rPr>
        <w:t>Cabe destacar ainda que para a devida utilização destes recursos, deverá estar prevista no Plano Municipal de Saúde e na Programação Anual de Saúde, e ainda existir aprovação do Conselho Municipal de Saúde, conforme determina o art. 33 da Lei n 8.080, de 1990:</w:t>
      </w:r>
    </w:p>
    <w:p w:rsidR="00A5322D" w:rsidRPr="00A5322D" w:rsidRDefault="00A5322D" w:rsidP="00A5322D">
      <w:pPr>
        <w:ind w:left="1134" w:firstLine="708"/>
        <w:jc w:val="both"/>
        <w:rPr>
          <w:bCs/>
          <w:i/>
        </w:rPr>
      </w:pPr>
    </w:p>
    <w:p w:rsidR="00A5322D" w:rsidRPr="00A5322D" w:rsidRDefault="00A5322D" w:rsidP="00A5322D">
      <w:pPr>
        <w:ind w:left="1134" w:firstLine="708"/>
        <w:jc w:val="both"/>
        <w:rPr>
          <w:bCs/>
          <w:i/>
        </w:rPr>
      </w:pPr>
      <w:r w:rsidRPr="00A5322D">
        <w:rPr>
          <w:bCs/>
          <w:i/>
        </w:rPr>
        <w:t>Art. 33. Os recursos financeiros do Sistema Único de Saúde (SUS) serão depositados em conta especial, em cada esfera de sua atuação, e movimentados sob fiscalização dos respectivos Conselhos de Saúde.</w:t>
      </w:r>
    </w:p>
    <w:p w:rsidR="00A5322D" w:rsidRPr="00A5322D" w:rsidRDefault="00A5322D" w:rsidP="00A5322D">
      <w:pPr>
        <w:ind w:left="1134" w:firstLine="708"/>
        <w:jc w:val="both"/>
        <w:rPr>
          <w:bCs/>
          <w:i/>
        </w:rPr>
      </w:pPr>
    </w:p>
    <w:p w:rsidR="00A5322D" w:rsidRDefault="00A5322D" w:rsidP="00A5322D">
      <w:pPr>
        <w:ind w:left="1134" w:firstLine="708"/>
        <w:jc w:val="both"/>
        <w:rPr>
          <w:bCs/>
          <w:i/>
        </w:rPr>
      </w:pPr>
      <w:r w:rsidRPr="00A5322D">
        <w:rPr>
          <w:bCs/>
          <w:i/>
        </w:rPr>
        <w:tab/>
        <w:t>Diante do Exposto, considerando que foi eleito o expediente legislativo correto, bem como observada a competência para iniciativa de lei, além de atender aos requisitos de constitucionalidade formal e material, juridicidade, regimentalidade não há óbice jurídico ao presente projeto, desde que a contratação dos laboratórios atenda as normas de direito público, ou seja a Lei no 8.666, de 1993.</w:t>
      </w:r>
    </w:p>
    <w:p w:rsidR="00A5322D" w:rsidRDefault="00A5322D" w:rsidP="00A5322D">
      <w:pPr>
        <w:ind w:left="1134" w:firstLine="708"/>
        <w:jc w:val="both"/>
        <w:rPr>
          <w:bCs/>
          <w:i/>
        </w:rPr>
      </w:pPr>
    </w:p>
    <w:p w:rsidR="00807864" w:rsidRDefault="00807864" w:rsidP="00807864">
      <w:pPr>
        <w:ind w:firstLine="708"/>
        <w:jc w:val="both"/>
        <w:rPr>
          <w:bCs/>
        </w:rPr>
      </w:pPr>
      <w:r w:rsidRPr="005132FF">
        <w:rPr>
          <w:bCs/>
        </w:rPr>
        <w:t xml:space="preserve">Não houve apresentação de emendas por parte dos Vereadores. </w:t>
      </w:r>
    </w:p>
    <w:p w:rsidR="00A5322D" w:rsidRDefault="00A5322D" w:rsidP="00807864">
      <w:pPr>
        <w:ind w:firstLine="708"/>
        <w:jc w:val="both"/>
        <w:rPr>
          <w:bCs/>
        </w:rPr>
      </w:pPr>
    </w:p>
    <w:p w:rsidR="00A5322D" w:rsidRDefault="00A5322D" w:rsidP="00807864">
      <w:pPr>
        <w:ind w:firstLine="708"/>
        <w:jc w:val="both"/>
        <w:rPr>
          <w:bCs/>
        </w:rPr>
      </w:pPr>
    </w:p>
    <w:p w:rsidR="00A5322D" w:rsidRDefault="00A5322D" w:rsidP="00807864">
      <w:pPr>
        <w:ind w:firstLine="708"/>
        <w:jc w:val="both"/>
        <w:rPr>
          <w:bCs/>
        </w:rPr>
      </w:pPr>
    </w:p>
    <w:p w:rsidR="00A5322D" w:rsidRDefault="00A5322D" w:rsidP="00807864">
      <w:pPr>
        <w:ind w:firstLine="708"/>
        <w:jc w:val="both"/>
        <w:rPr>
          <w:bCs/>
        </w:rPr>
      </w:pPr>
    </w:p>
    <w:p w:rsidR="002905B0" w:rsidRPr="005132FF" w:rsidRDefault="002905B0" w:rsidP="00807864">
      <w:pPr>
        <w:jc w:val="both"/>
        <w:rPr>
          <w:bCs/>
        </w:rPr>
      </w:pPr>
    </w:p>
    <w:p w:rsidR="00EA39EB" w:rsidRDefault="00AD6F69" w:rsidP="00C929B5">
      <w:pPr>
        <w:jc w:val="center"/>
        <w:rPr>
          <w:b/>
          <w:bCs/>
        </w:rPr>
      </w:pPr>
      <w:r>
        <w:rPr>
          <w:b/>
          <w:bCs/>
        </w:rPr>
        <w:lastRenderedPageBreak/>
        <w:t>Análise:</w:t>
      </w:r>
    </w:p>
    <w:p w:rsidR="00807864" w:rsidRDefault="00807864" w:rsidP="00C929B5">
      <w:pPr>
        <w:jc w:val="center"/>
        <w:rPr>
          <w:b/>
          <w:bCs/>
        </w:rPr>
      </w:pPr>
    </w:p>
    <w:p w:rsidR="00EA39EB" w:rsidRDefault="00052047" w:rsidP="007A2A59">
      <w:pPr>
        <w:ind w:firstLine="708"/>
        <w:jc w:val="both"/>
      </w:pPr>
      <w:r>
        <w:rPr>
          <w:color w:val="000000"/>
        </w:rPr>
        <w:t>O</w:t>
      </w:r>
      <w:r w:rsidR="00E41092">
        <w:rPr>
          <w:color w:val="000000"/>
        </w:rPr>
        <w:t>pina-se pela viabilidade do presente Projeto de Lei</w:t>
      </w:r>
      <w:r>
        <w:rPr>
          <w:color w:val="000000"/>
        </w:rPr>
        <w:t>, uma vez que consoante orientação jurídica não há</w:t>
      </w:r>
      <w:r w:rsidR="004F6099">
        <w:rPr>
          <w:bCs/>
        </w:rPr>
        <w:t xml:space="preserve"> </w:t>
      </w:r>
      <w:r w:rsidR="00912357" w:rsidRPr="00E9482B">
        <w:t>víc</w:t>
      </w:r>
      <w:r w:rsidR="00912357">
        <w:t>i</w:t>
      </w:r>
      <w:r w:rsidR="004F6099">
        <w:t>os de ordem for</w:t>
      </w:r>
      <w:r w:rsidR="00BA6DDF">
        <w:t>mal ou material no mesmo</w:t>
      </w:r>
      <w:r w:rsidR="00A5322D">
        <w:t>.</w:t>
      </w:r>
    </w:p>
    <w:p w:rsidR="00A5322D" w:rsidRDefault="00A5322D" w:rsidP="007A2A59">
      <w:pPr>
        <w:ind w:firstLine="708"/>
        <w:jc w:val="both"/>
      </w:pPr>
    </w:p>
    <w:p w:rsidR="005E5789" w:rsidRDefault="00447978" w:rsidP="005E5789">
      <w:pPr>
        <w:jc w:val="center"/>
        <w:rPr>
          <w:b/>
        </w:rPr>
      </w:pPr>
      <w:r>
        <w:rPr>
          <w:b/>
        </w:rPr>
        <w:t>Conclusão do Voto:</w:t>
      </w:r>
    </w:p>
    <w:p w:rsidR="00807864" w:rsidRDefault="00807864" w:rsidP="005E5789">
      <w:pPr>
        <w:jc w:val="center"/>
        <w:rPr>
          <w:b/>
        </w:rPr>
      </w:pPr>
    </w:p>
    <w:p w:rsidR="005E5789" w:rsidRDefault="00AD6F69" w:rsidP="00AD6F69">
      <w:pPr>
        <w:jc w:val="both"/>
      </w:pPr>
      <w:r>
        <w:rPr>
          <w:b/>
        </w:rPr>
        <w:tab/>
      </w:r>
      <w:r w:rsidRPr="007450B1">
        <w:t>Diant</w:t>
      </w:r>
      <w:r w:rsidR="00484795">
        <w:t>e dos fundam</w:t>
      </w:r>
      <w:r w:rsidR="00EA39EB">
        <w:t>entos expostos, est</w:t>
      </w:r>
      <w:r w:rsidR="005E5789">
        <w:t>e</w:t>
      </w:r>
      <w:r w:rsidRPr="007450B1">
        <w:t xml:space="preserve"> Relator disponibiliza o presente Voto Favorável à proposição. </w:t>
      </w:r>
    </w:p>
    <w:p w:rsidR="00807864" w:rsidRPr="008B1AE8" w:rsidRDefault="00807864" w:rsidP="00AD6F69">
      <w:pPr>
        <w:jc w:val="both"/>
      </w:pPr>
    </w:p>
    <w:p w:rsidR="00C929B5" w:rsidRDefault="00AD6F69" w:rsidP="00C929B5">
      <w:r>
        <w:rPr>
          <w:b/>
        </w:rPr>
        <w:tab/>
      </w:r>
      <w:r w:rsidR="00755094">
        <w:t>Sala das Co</w:t>
      </w:r>
      <w:r w:rsidR="00AB328F">
        <w:t xml:space="preserve">missões, em </w:t>
      </w:r>
      <w:r w:rsidR="005E5789">
        <w:t>25</w:t>
      </w:r>
      <w:r w:rsidR="00966B03">
        <w:t xml:space="preserve"> </w:t>
      </w:r>
      <w:r w:rsidR="005A62F2">
        <w:t>de fevereiro</w:t>
      </w:r>
      <w:r w:rsidR="00051BBE">
        <w:t xml:space="preserve"> de 201</w:t>
      </w:r>
      <w:r w:rsidR="005A62F2">
        <w:t>6</w:t>
      </w:r>
    </w:p>
    <w:p w:rsidR="00574D39" w:rsidRDefault="00574D39" w:rsidP="00C929B5"/>
    <w:p w:rsidR="00807864" w:rsidRDefault="00807864" w:rsidP="00C929B5"/>
    <w:p w:rsidR="005E5789" w:rsidRDefault="00C929B5" w:rsidP="005E5789">
      <w:r>
        <w:t xml:space="preserve">      </w:t>
      </w:r>
      <w:r w:rsidR="00EA39EB">
        <w:t>______</w:t>
      </w:r>
      <w:r w:rsidR="00807864">
        <w:t>_______________________</w:t>
      </w:r>
    </w:p>
    <w:p w:rsidR="00F0251F" w:rsidRDefault="005E5789" w:rsidP="00574D39">
      <w:pPr>
        <w:ind w:firstLine="708"/>
      </w:pPr>
      <w:r>
        <w:t>IDO RHODEN – RELATOR</w:t>
      </w:r>
    </w:p>
    <w:p w:rsidR="00807864" w:rsidRDefault="00807864" w:rsidP="00574D39">
      <w:pPr>
        <w:ind w:firstLine="708"/>
      </w:pPr>
    </w:p>
    <w:p w:rsidR="00807864" w:rsidRDefault="00807864" w:rsidP="00574D39">
      <w:pPr>
        <w:ind w:firstLine="708"/>
      </w:pPr>
    </w:p>
    <w:p w:rsidR="007A2A59" w:rsidRDefault="00AB328F" w:rsidP="007A2A59">
      <w:pPr>
        <w:rPr>
          <w:b/>
        </w:rPr>
      </w:pPr>
      <w:r w:rsidRPr="00387FA5">
        <w:rPr>
          <w:b/>
        </w:rPr>
        <w:t>Pelas Conclusões:</w:t>
      </w:r>
    </w:p>
    <w:p w:rsidR="00807864" w:rsidRDefault="00807864" w:rsidP="007A2A59">
      <w:pPr>
        <w:rPr>
          <w:b/>
        </w:rPr>
      </w:pPr>
    </w:p>
    <w:p w:rsidR="00807864" w:rsidRPr="007A2A59" w:rsidRDefault="00807864" w:rsidP="007A2A59">
      <w:pPr>
        <w:rPr>
          <w:b/>
        </w:rPr>
      </w:pPr>
    </w:p>
    <w:p w:rsidR="00AB328F" w:rsidRPr="004A23F3" w:rsidRDefault="00B07737" w:rsidP="00AB328F">
      <w:pPr>
        <w:ind w:firstLine="708"/>
      </w:pPr>
      <w:r>
        <w:t>_____</w:t>
      </w:r>
      <w:r w:rsidR="00AB328F" w:rsidRPr="004A23F3">
        <w:t>_________________</w:t>
      </w:r>
      <w:r w:rsidR="003E58A8">
        <w:t>_____________</w:t>
      </w:r>
      <w:r w:rsidR="00052047">
        <w:t>___</w:t>
      </w:r>
    </w:p>
    <w:p w:rsidR="007A2A59" w:rsidRDefault="007A2A59" w:rsidP="007A2A59">
      <w:pPr>
        <w:ind w:firstLine="708"/>
      </w:pPr>
      <w:r>
        <w:t xml:space="preserve">      CARLITO SOMMER – </w:t>
      </w:r>
      <w:r w:rsidR="00AB328F" w:rsidRPr="004A23F3">
        <w:t>PRESIDENTE</w:t>
      </w:r>
    </w:p>
    <w:p w:rsidR="00C929B5" w:rsidRDefault="00C929B5" w:rsidP="007A2A59">
      <w:pPr>
        <w:ind w:firstLine="708"/>
      </w:pPr>
    </w:p>
    <w:sectPr w:rsidR="00C929B5" w:rsidSect="00447978">
      <w:pgSz w:w="11906" w:h="16838"/>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DEE" w:rsidRDefault="00B83DEE" w:rsidP="00052047">
      <w:r>
        <w:separator/>
      </w:r>
    </w:p>
  </w:endnote>
  <w:endnote w:type="continuationSeparator" w:id="0">
    <w:p w:rsidR="00B83DEE" w:rsidRDefault="00B83DEE" w:rsidP="0005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DEE" w:rsidRDefault="00B83DEE" w:rsidP="00052047">
      <w:r>
        <w:separator/>
      </w:r>
    </w:p>
  </w:footnote>
  <w:footnote w:type="continuationSeparator" w:id="0">
    <w:p w:rsidR="00B83DEE" w:rsidRDefault="00B83DEE" w:rsidP="000520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EF5374"/>
    <w:multiLevelType w:val="hybridMultilevel"/>
    <w:tmpl w:val="8B9201A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nsid w:val="4F275D57"/>
    <w:multiLevelType w:val="hybridMultilevel"/>
    <w:tmpl w:val="355C9BFC"/>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69"/>
    <w:rsid w:val="00004A55"/>
    <w:rsid w:val="00007FCE"/>
    <w:rsid w:val="00011FB5"/>
    <w:rsid w:val="00027F8B"/>
    <w:rsid w:val="0004207B"/>
    <w:rsid w:val="00043E8D"/>
    <w:rsid w:val="00051BBE"/>
    <w:rsid w:val="00052047"/>
    <w:rsid w:val="000558D3"/>
    <w:rsid w:val="000718D0"/>
    <w:rsid w:val="00075A97"/>
    <w:rsid w:val="00077222"/>
    <w:rsid w:val="00080D2A"/>
    <w:rsid w:val="000A1194"/>
    <w:rsid w:val="000B60F0"/>
    <w:rsid w:val="000D207D"/>
    <w:rsid w:val="000D64F9"/>
    <w:rsid w:val="000E2419"/>
    <w:rsid w:val="000E70EB"/>
    <w:rsid w:val="0010109D"/>
    <w:rsid w:val="00106169"/>
    <w:rsid w:val="00141A57"/>
    <w:rsid w:val="00142955"/>
    <w:rsid w:val="00162706"/>
    <w:rsid w:val="00176416"/>
    <w:rsid w:val="001811F9"/>
    <w:rsid w:val="00183811"/>
    <w:rsid w:val="00183F78"/>
    <w:rsid w:val="001840BB"/>
    <w:rsid w:val="001A0540"/>
    <w:rsid w:val="001A3014"/>
    <w:rsid w:val="001A3659"/>
    <w:rsid w:val="001A6238"/>
    <w:rsid w:val="001C0FD5"/>
    <w:rsid w:val="001C1CA6"/>
    <w:rsid w:val="001D05BA"/>
    <w:rsid w:val="001E4586"/>
    <w:rsid w:val="001E60CF"/>
    <w:rsid w:val="00202507"/>
    <w:rsid w:val="0022329C"/>
    <w:rsid w:val="00231D64"/>
    <w:rsid w:val="0023489C"/>
    <w:rsid w:val="00237E83"/>
    <w:rsid w:val="002731B6"/>
    <w:rsid w:val="0027537F"/>
    <w:rsid w:val="0028236F"/>
    <w:rsid w:val="002905B0"/>
    <w:rsid w:val="00291D20"/>
    <w:rsid w:val="002C6830"/>
    <w:rsid w:val="002D7A78"/>
    <w:rsid w:val="002E3FD6"/>
    <w:rsid w:val="00305440"/>
    <w:rsid w:val="0031145E"/>
    <w:rsid w:val="00317EC3"/>
    <w:rsid w:val="0032127B"/>
    <w:rsid w:val="00326871"/>
    <w:rsid w:val="00350C6E"/>
    <w:rsid w:val="00357B78"/>
    <w:rsid w:val="0036240F"/>
    <w:rsid w:val="00371199"/>
    <w:rsid w:val="00373045"/>
    <w:rsid w:val="003760E4"/>
    <w:rsid w:val="00376C54"/>
    <w:rsid w:val="003924B5"/>
    <w:rsid w:val="003C337D"/>
    <w:rsid w:val="003D00EB"/>
    <w:rsid w:val="003D63AD"/>
    <w:rsid w:val="003E45BA"/>
    <w:rsid w:val="003E58A8"/>
    <w:rsid w:val="00405930"/>
    <w:rsid w:val="004116A1"/>
    <w:rsid w:val="00445DC2"/>
    <w:rsid w:val="00447978"/>
    <w:rsid w:val="00452F82"/>
    <w:rsid w:val="00454545"/>
    <w:rsid w:val="00461440"/>
    <w:rsid w:val="00462F38"/>
    <w:rsid w:val="00477CF6"/>
    <w:rsid w:val="00482BE3"/>
    <w:rsid w:val="00484795"/>
    <w:rsid w:val="00484E4F"/>
    <w:rsid w:val="004A2736"/>
    <w:rsid w:val="004B3EE7"/>
    <w:rsid w:val="004B4E24"/>
    <w:rsid w:val="004B5DA3"/>
    <w:rsid w:val="004C5155"/>
    <w:rsid w:val="004C6EFE"/>
    <w:rsid w:val="004D66E9"/>
    <w:rsid w:val="004D7899"/>
    <w:rsid w:val="004E2CAA"/>
    <w:rsid w:val="004F6099"/>
    <w:rsid w:val="004F72F3"/>
    <w:rsid w:val="0050121D"/>
    <w:rsid w:val="005021E0"/>
    <w:rsid w:val="00504AD5"/>
    <w:rsid w:val="00505B50"/>
    <w:rsid w:val="005132FF"/>
    <w:rsid w:val="00523C39"/>
    <w:rsid w:val="00556797"/>
    <w:rsid w:val="0055748E"/>
    <w:rsid w:val="00562361"/>
    <w:rsid w:val="005654D5"/>
    <w:rsid w:val="005739B5"/>
    <w:rsid w:val="00574D39"/>
    <w:rsid w:val="005A3D97"/>
    <w:rsid w:val="005A62F2"/>
    <w:rsid w:val="005B01F0"/>
    <w:rsid w:val="005E284D"/>
    <w:rsid w:val="005E5789"/>
    <w:rsid w:val="005F0D9B"/>
    <w:rsid w:val="00640CB7"/>
    <w:rsid w:val="00644E2A"/>
    <w:rsid w:val="00673624"/>
    <w:rsid w:val="006740E3"/>
    <w:rsid w:val="006748DA"/>
    <w:rsid w:val="006921BD"/>
    <w:rsid w:val="00692B68"/>
    <w:rsid w:val="006A4A39"/>
    <w:rsid w:val="006B1E42"/>
    <w:rsid w:val="006B4144"/>
    <w:rsid w:val="006B7F3D"/>
    <w:rsid w:val="006C07DD"/>
    <w:rsid w:val="006C1436"/>
    <w:rsid w:val="006C2757"/>
    <w:rsid w:val="006C7648"/>
    <w:rsid w:val="00711109"/>
    <w:rsid w:val="00732943"/>
    <w:rsid w:val="007343F0"/>
    <w:rsid w:val="00742A00"/>
    <w:rsid w:val="007524FD"/>
    <w:rsid w:val="00752503"/>
    <w:rsid w:val="00755094"/>
    <w:rsid w:val="007641EA"/>
    <w:rsid w:val="00770495"/>
    <w:rsid w:val="0077087B"/>
    <w:rsid w:val="00776938"/>
    <w:rsid w:val="00787D2E"/>
    <w:rsid w:val="007945E1"/>
    <w:rsid w:val="00797B47"/>
    <w:rsid w:val="007A2A59"/>
    <w:rsid w:val="007A566E"/>
    <w:rsid w:val="007B5106"/>
    <w:rsid w:val="007B6B4C"/>
    <w:rsid w:val="007C5565"/>
    <w:rsid w:val="007C5859"/>
    <w:rsid w:val="007D6404"/>
    <w:rsid w:val="007E7216"/>
    <w:rsid w:val="00801F20"/>
    <w:rsid w:val="00806C53"/>
    <w:rsid w:val="00806F99"/>
    <w:rsid w:val="00807864"/>
    <w:rsid w:val="00820A8F"/>
    <w:rsid w:val="00824CB1"/>
    <w:rsid w:val="00831154"/>
    <w:rsid w:val="00852DD4"/>
    <w:rsid w:val="00866272"/>
    <w:rsid w:val="00871AE9"/>
    <w:rsid w:val="00880227"/>
    <w:rsid w:val="00880381"/>
    <w:rsid w:val="008805A1"/>
    <w:rsid w:val="008946E6"/>
    <w:rsid w:val="008961AE"/>
    <w:rsid w:val="00897259"/>
    <w:rsid w:val="0089771C"/>
    <w:rsid w:val="008A6D3E"/>
    <w:rsid w:val="008B1AE8"/>
    <w:rsid w:val="008D1242"/>
    <w:rsid w:val="008E5B08"/>
    <w:rsid w:val="008E7AF1"/>
    <w:rsid w:val="008F1135"/>
    <w:rsid w:val="008F1146"/>
    <w:rsid w:val="008F27E3"/>
    <w:rsid w:val="008F3E80"/>
    <w:rsid w:val="008F64BA"/>
    <w:rsid w:val="00905885"/>
    <w:rsid w:val="00906204"/>
    <w:rsid w:val="00912357"/>
    <w:rsid w:val="00914DB5"/>
    <w:rsid w:val="009330FE"/>
    <w:rsid w:val="00937518"/>
    <w:rsid w:val="00947611"/>
    <w:rsid w:val="0095314E"/>
    <w:rsid w:val="00957B11"/>
    <w:rsid w:val="00966B03"/>
    <w:rsid w:val="00982DE9"/>
    <w:rsid w:val="00987B83"/>
    <w:rsid w:val="009C60C3"/>
    <w:rsid w:val="009C7CA3"/>
    <w:rsid w:val="009F72F3"/>
    <w:rsid w:val="00A139AE"/>
    <w:rsid w:val="00A22338"/>
    <w:rsid w:val="00A2497B"/>
    <w:rsid w:val="00A41A99"/>
    <w:rsid w:val="00A43A37"/>
    <w:rsid w:val="00A5322D"/>
    <w:rsid w:val="00A55211"/>
    <w:rsid w:val="00A60278"/>
    <w:rsid w:val="00A71D28"/>
    <w:rsid w:val="00A7302D"/>
    <w:rsid w:val="00A773AD"/>
    <w:rsid w:val="00A808B4"/>
    <w:rsid w:val="00A85894"/>
    <w:rsid w:val="00A85C7D"/>
    <w:rsid w:val="00A94C72"/>
    <w:rsid w:val="00A96919"/>
    <w:rsid w:val="00AA6015"/>
    <w:rsid w:val="00AB328F"/>
    <w:rsid w:val="00AD6F69"/>
    <w:rsid w:val="00AE1817"/>
    <w:rsid w:val="00AE45FB"/>
    <w:rsid w:val="00AE4CE2"/>
    <w:rsid w:val="00AF0262"/>
    <w:rsid w:val="00AF3B26"/>
    <w:rsid w:val="00AF3D15"/>
    <w:rsid w:val="00B04CA9"/>
    <w:rsid w:val="00B07737"/>
    <w:rsid w:val="00B235C2"/>
    <w:rsid w:val="00B300EA"/>
    <w:rsid w:val="00B31621"/>
    <w:rsid w:val="00B4220F"/>
    <w:rsid w:val="00B50355"/>
    <w:rsid w:val="00B81669"/>
    <w:rsid w:val="00B83867"/>
    <w:rsid w:val="00B83DEE"/>
    <w:rsid w:val="00B85B22"/>
    <w:rsid w:val="00BA6DDF"/>
    <w:rsid w:val="00BB3AB0"/>
    <w:rsid w:val="00BD123B"/>
    <w:rsid w:val="00BE4F2B"/>
    <w:rsid w:val="00C05768"/>
    <w:rsid w:val="00C15D86"/>
    <w:rsid w:val="00C34097"/>
    <w:rsid w:val="00C47479"/>
    <w:rsid w:val="00C47D83"/>
    <w:rsid w:val="00C511BB"/>
    <w:rsid w:val="00C55899"/>
    <w:rsid w:val="00C74A3F"/>
    <w:rsid w:val="00C74F14"/>
    <w:rsid w:val="00C76B15"/>
    <w:rsid w:val="00C929B5"/>
    <w:rsid w:val="00CA38B1"/>
    <w:rsid w:val="00CB7E87"/>
    <w:rsid w:val="00CD1B2A"/>
    <w:rsid w:val="00CD6044"/>
    <w:rsid w:val="00CE4461"/>
    <w:rsid w:val="00CE7DA3"/>
    <w:rsid w:val="00D015A7"/>
    <w:rsid w:val="00D05BFA"/>
    <w:rsid w:val="00D127ED"/>
    <w:rsid w:val="00D463A1"/>
    <w:rsid w:val="00D63736"/>
    <w:rsid w:val="00D71FF0"/>
    <w:rsid w:val="00D765CD"/>
    <w:rsid w:val="00D9531E"/>
    <w:rsid w:val="00D96AC2"/>
    <w:rsid w:val="00DA3A75"/>
    <w:rsid w:val="00DA3C0A"/>
    <w:rsid w:val="00DD2A03"/>
    <w:rsid w:val="00DD3694"/>
    <w:rsid w:val="00DD7F22"/>
    <w:rsid w:val="00DE31B0"/>
    <w:rsid w:val="00DF2E17"/>
    <w:rsid w:val="00E01FFD"/>
    <w:rsid w:val="00E41092"/>
    <w:rsid w:val="00E44DA2"/>
    <w:rsid w:val="00E52FE9"/>
    <w:rsid w:val="00E709D9"/>
    <w:rsid w:val="00E8114F"/>
    <w:rsid w:val="00E8157C"/>
    <w:rsid w:val="00E877A6"/>
    <w:rsid w:val="00E921AA"/>
    <w:rsid w:val="00EA39EB"/>
    <w:rsid w:val="00EA75A3"/>
    <w:rsid w:val="00ED213A"/>
    <w:rsid w:val="00ED5DD9"/>
    <w:rsid w:val="00EE26F0"/>
    <w:rsid w:val="00EE2EFB"/>
    <w:rsid w:val="00EF3B2C"/>
    <w:rsid w:val="00F0251F"/>
    <w:rsid w:val="00F124CB"/>
    <w:rsid w:val="00F1446D"/>
    <w:rsid w:val="00F15A30"/>
    <w:rsid w:val="00F304CF"/>
    <w:rsid w:val="00F32ECD"/>
    <w:rsid w:val="00F3565A"/>
    <w:rsid w:val="00F6666E"/>
    <w:rsid w:val="00F667C3"/>
    <w:rsid w:val="00F677AA"/>
    <w:rsid w:val="00F76A68"/>
    <w:rsid w:val="00F76F93"/>
    <w:rsid w:val="00FA58D0"/>
    <w:rsid w:val="00FA676B"/>
    <w:rsid w:val="00FB137A"/>
    <w:rsid w:val="00FB65E8"/>
    <w:rsid w:val="00FE53A8"/>
    <w:rsid w:val="00FF58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D5344C-AF3E-407D-9815-FC665939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F6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AD6F69"/>
    <w:pPr>
      <w:ind w:left="5580" w:hanging="5580"/>
    </w:pPr>
  </w:style>
  <w:style w:type="character" w:customStyle="1" w:styleId="RecuodecorpodetextoChar">
    <w:name w:val="Recuo de corpo de texto Char"/>
    <w:basedOn w:val="Fontepargpadro"/>
    <w:link w:val="Recuodecorpodetexto"/>
    <w:rsid w:val="00AD6F69"/>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AD6F69"/>
    <w:pPr>
      <w:spacing w:after="120" w:line="480" w:lineRule="auto"/>
    </w:pPr>
  </w:style>
  <w:style w:type="character" w:customStyle="1" w:styleId="Corpodetexto2Char">
    <w:name w:val="Corpo de texto 2 Char"/>
    <w:basedOn w:val="Fontepargpadro"/>
    <w:link w:val="Corpodetexto2"/>
    <w:rsid w:val="00AD6F69"/>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326871"/>
    <w:rPr>
      <w:rFonts w:ascii="Segoe UI" w:hAnsi="Segoe UI" w:cs="Segoe UI"/>
      <w:sz w:val="18"/>
      <w:szCs w:val="18"/>
    </w:rPr>
  </w:style>
  <w:style w:type="character" w:customStyle="1" w:styleId="TextodebaloChar">
    <w:name w:val="Texto de balão Char"/>
    <w:basedOn w:val="Fontepargpadro"/>
    <w:link w:val="Textodebalo"/>
    <w:uiPriority w:val="99"/>
    <w:semiHidden/>
    <w:rsid w:val="00326871"/>
    <w:rPr>
      <w:rFonts w:ascii="Segoe UI" w:eastAsia="Times New Roman" w:hAnsi="Segoe UI" w:cs="Segoe UI"/>
      <w:sz w:val="18"/>
      <w:szCs w:val="18"/>
      <w:lang w:eastAsia="pt-BR"/>
    </w:rPr>
  </w:style>
  <w:style w:type="paragraph" w:styleId="PargrafodaLista">
    <w:name w:val="List Paragraph"/>
    <w:basedOn w:val="Normal"/>
    <w:uiPriority w:val="34"/>
    <w:qFormat/>
    <w:rsid w:val="00142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90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1676</Words>
  <Characters>9053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4</cp:revision>
  <cp:lastPrinted>2016-02-10T13:18:00Z</cp:lastPrinted>
  <dcterms:created xsi:type="dcterms:W3CDTF">2016-03-01T19:21:00Z</dcterms:created>
  <dcterms:modified xsi:type="dcterms:W3CDTF">2016-03-09T14:12:00Z</dcterms:modified>
</cp:coreProperties>
</file>