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6F69" w:rsidRPr="004A23F3" w:rsidRDefault="00447978" w:rsidP="00AD6F69">
      <w:pPr>
        <w:jc w:val="both"/>
      </w:pPr>
      <w:r w:rsidRPr="004A23F3">
        <w:rPr>
          <w:noProof/>
        </w:rPr>
        <w:drawing>
          <wp:anchor distT="0" distB="0" distL="114300" distR="114300" simplePos="0" relativeHeight="251659264" behindDoc="0" locked="0" layoutInCell="1" allowOverlap="1">
            <wp:simplePos x="0" y="0"/>
            <wp:positionH relativeFrom="margin">
              <wp:align>center</wp:align>
            </wp:positionH>
            <wp:positionV relativeFrom="paragraph">
              <wp:posOffset>9525</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Pr>
        <w:jc w:val="center"/>
        <w:rPr>
          <w:rFonts w:ascii="Bookman Old Style" w:hAnsi="Bookman Old Style"/>
        </w:rPr>
      </w:pPr>
      <w:r w:rsidRPr="004A23F3">
        <w:rPr>
          <w:rFonts w:ascii="Bookman Old Style" w:hAnsi="Bookman Old Style"/>
        </w:rPr>
        <w:t>Estado do Rio Grande do Sul</w:t>
      </w:r>
    </w:p>
    <w:p w:rsidR="00AD6F69" w:rsidRPr="008D49FD" w:rsidRDefault="00AD6F69" w:rsidP="00AD6F69">
      <w:pPr>
        <w:jc w:val="center"/>
        <w:rPr>
          <w:rFonts w:ascii="Bookman Old Style" w:hAnsi="Bookman Old Style"/>
          <w:b/>
        </w:rPr>
      </w:pPr>
      <w:r w:rsidRPr="004A23F3">
        <w:rPr>
          <w:rFonts w:ascii="Bookman Old Style" w:hAnsi="Bookman Old Style"/>
          <w:b/>
        </w:rPr>
        <w:t>CÂMARA MUNICIPAL DE VEREADORES DE TRÊS PASSOS</w:t>
      </w:r>
    </w:p>
    <w:p w:rsidR="00AD6F69" w:rsidRDefault="00AD6F69" w:rsidP="00AD6F69">
      <w:pPr>
        <w:pStyle w:val="Recuodecorpodetexto"/>
        <w:ind w:left="0" w:firstLine="0"/>
        <w:jc w:val="center"/>
        <w:rPr>
          <w:b/>
          <w:bCs/>
        </w:rPr>
      </w:pPr>
      <w:r w:rsidRPr="004A23F3">
        <w:rPr>
          <w:b/>
          <w:bCs/>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A932AE">
        <w:t xml:space="preserve"> nº 16</w:t>
      </w:r>
      <w:r w:rsidR="007A2A59">
        <w:t>/2016</w:t>
      </w:r>
      <w:r w:rsidR="00F1446D">
        <w:tab/>
      </w:r>
      <w:r w:rsidR="00F1446D">
        <w:tab/>
      </w:r>
      <w:r w:rsidR="00F1446D">
        <w:tab/>
      </w:r>
      <w:r w:rsidR="00F1446D">
        <w:tab/>
      </w:r>
      <w:r w:rsidRPr="007450B1">
        <w:rPr>
          <w:b/>
        </w:rPr>
        <w:t>Data:</w:t>
      </w:r>
      <w:r w:rsidR="003924B5">
        <w:t xml:space="preserve"> </w:t>
      </w:r>
      <w:r w:rsidR="00277274">
        <w:t>11</w:t>
      </w:r>
      <w:r w:rsidR="004B014C">
        <w:t xml:space="preserve"> de fevereiro</w:t>
      </w:r>
      <w:r w:rsidR="00770495">
        <w:t xml:space="preserve"> </w:t>
      </w:r>
      <w:r w:rsidR="007A2A59">
        <w:t>de 2016</w:t>
      </w:r>
    </w:p>
    <w:p w:rsidR="00AD6F69" w:rsidRDefault="00004A55" w:rsidP="00F1446D">
      <w:pPr>
        <w:pStyle w:val="Recuodecorpodetexto"/>
        <w:ind w:left="3238" w:hanging="3238"/>
      </w:pPr>
      <w:r>
        <w:rPr>
          <w:b/>
        </w:rPr>
        <w:t xml:space="preserve">Matéria: </w:t>
      </w:r>
      <w:r w:rsidR="008F3E80">
        <w:t>Mensagem nº</w:t>
      </w:r>
      <w:r w:rsidR="00277274">
        <w:t xml:space="preserve"> 12</w:t>
      </w:r>
      <w:r w:rsidR="002E3FD6">
        <w:t>/2016</w:t>
      </w:r>
      <w:r w:rsidR="00F1446D" w:rsidRPr="00004A55">
        <w:tab/>
      </w:r>
      <w:r>
        <w:tab/>
      </w:r>
      <w:r>
        <w:tab/>
      </w:r>
      <w:r w:rsidR="004B014C">
        <w:tab/>
      </w:r>
      <w:r w:rsidR="00AD6F69" w:rsidRPr="007450B1">
        <w:rPr>
          <w:b/>
        </w:rPr>
        <w:t>Autor:</w:t>
      </w:r>
      <w:r w:rsidR="00770495">
        <w:t xml:space="preserve"> Poder Executivo</w:t>
      </w:r>
      <w:r w:rsidR="00AD6F69">
        <w:tab/>
      </w:r>
    </w:p>
    <w:p w:rsidR="00AD6F69" w:rsidRPr="002513A5" w:rsidRDefault="00606240" w:rsidP="00F1446D">
      <w:pPr>
        <w:pStyle w:val="Recuodecorpodetexto"/>
        <w:ind w:left="3238" w:hanging="3238"/>
      </w:pPr>
      <w:r>
        <w:rPr>
          <w:b/>
        </w:rPr>
        <w:t xml:space="preserve">Relatora: </w:t>
      </w:r>
      <w:r w:rsidRPr="00606240">
        <w:t>Lélia Müller</w:t>
      </w:r>
      <w:r w:rsidR="00F1446D">
        <w:tab/>
      </w:r>
      <w:r w:rsidR="00F1446D">
        <w:tab/>
      </w:r>
      <w:r w:rsidR="00F1446D">
        <w:tab/>
      </w:r>
      <w:r w:rsidR="00F1446D">
        <w:tab/>
      </w:r>
      <w:r w:rsidR="00AD6F69" w:rsidRPr="007450B1">
        <w:rPr>
          <w:b/>
        </w:rPr>
        <w:t>Conclusão do Voto:</w:t>
      </w:r>
      <w:r w:rsidR="00AD6F69">
        <w:t xml:space="preserve"> Favorável</w:t>
      </w:r>
    </w:p>
    <w:p w:rsidR="00B4220F" w:rsidRDefault="003924B5" w:rsidP="00F1446D">
      <w:pPr>
        <w:pStyle w:val="Recuodecorpodetexto"/>
        <w:ind w:left="3238" w:hanging="3238"/>
        <w:jc w:val="both"/>
        <w:rPr>
          <w:bCs/>
        </w:rPr>
      </w:pPr>
      <w:r>
        <w:rPr>
          <w:b/>
          <w:bCs/>
        </w:rPr>
        <w:t>Projeto de Lei</w:t>
      </w:r>
      <w:r w:rsidR="001C0FD5">
        <w:rPr>
          <w:b/>
          <w:bCs/>
        </w:rPr>
        <w:t xml:space="preserve"> </w:t>
      </w:r>
      <w:r w:rsidR="00AD6F69" w:rsidRPr="007450B1">
        <w:rPr>
          <w:b/>
          <w:bCs/>
        </w:rPr>
        <w:t>nº:</w:t>
      </w:r>
      <w:r w:rsidR="00A773AD">
        <w:rPr>
          <w:bCs/>
        </w:rPr>
        <w:t xml:space="preserve"> </w:t>
      </w:r>
      <w:r w:rsidR="00277274">
        <w:rPr>
          <w:bCs/>
        </w:rPr>
        <w:t>10</w:t>
      </w:r>
      <w:r w:rsidR="007A2A59">
        <w:rPr>
          <w:bCs/>
        </w:rPr>
        <w:t>/16</w:t>
      </w:r>
    </w:p>
    <w:p w:rsidR="00AD6F69" w:rsidRDefault="00AD6F69" w:rsidP="00AD6F69">
      <w:pPr>
        <w:pStyle w:val="Recuodecorpodetexto"/>
        <w:ind w:left="3060" w:hanging="3240"/>
        <w:jc w:val="both"/>
        <w:rPr>
          <w:bCs/>
        </w:rPr>
      </w:pPr>
    </w:p>
    <w:p w:rsidR="007A2A59" w:rsidRDefault="00277274" w:rsidP="004B014C">
      <w:pPr>
        <w:pStyle w:val="Recuodecorpodetexto"/>
        <w:ind w:left="3060" w:firstLine="0"/>
        <w:jc w:val="both"/>
        <w:rPr>
          <w:bCs/>
        </w:rPr>
      </w:pPr>
      <w:r>
        <w:rPr>
          <w:bCs/>
        </w:rPr>
        <w:t>PROJETO DE LEI Nº 10</w:t>
      </w:r>
      <w:r w:rsidR="007A2A59" w:rsidRPr="007A2A59">
        <w:rPr>
          <w:bCs/>
        </w:rPr>
        <w:t>/16 –</w:t>
      </w:r>
      <w:r w:rsidR="00640622" w:rsidRPr="00640622">
        <w:rPr>
          <w:bCs/>
        </w:rPr>
        <w:t xml:space="preserve"> </w:t>
      </w:r>
      <w:r>
        <w:rPr>
          <w:bCs/>
        </w:rPr>
        <w:t>Autoriza o Município de Três Passos a firmar convênio com a Sociedade Assistencial a meninos e meninas Lagoa Vermelha (SAMMLAVE).</w:t>
      </w:r>
    </w:p>
    <w:p w:rsidR="00EA39EB" w:rsidRPr="007A2A59" w:rsidRDefault="00EA39EB" w:rsidP="007A2A59">
      <w:pPr>
        <w:pStyle w:val="Recuodecorpodetexto"/>
        <w:ind w:left="2268" w:firstLine="0"/>
        <w:jc w:val="both"/>
        <w:rPr>
          <w:bCs/>
        </w:rPr>
      </w:pPr>
    </w:p>
    <w:p w:rsidR="00447978" w:rsidRDefault="00AD6F69" w:rsidP="003C337D">
      <w:pPr>
        <w:jc w:val="both"/>
      </w:pPr>
      <w:r w:rsidRPr="00C55828">
        <w:rPr>
          <w:b/>
          <w:bCs/>
          <w:sz w:val="32"/>
        </w:rPr>
        <w:tab/>
      </w:r>
      <w:r w:rsidRPr="002324FA">
        <w:t>A Comissão de Constituição, Redação e Bem-Estar Social, por seus membros emite parecer ao projeto supra citado, conforme segue:</w:t>
      </w:r>
    </w:p>
    <w:p w:rsidR="003C337D" w:rsidRPr="003C337D" w:rsidRDefault="003C337D" w:rsidP="003C337D">
      <w:pPr>
        <w:jc w:val="both"/>
      </w:pPr>
    </w:p>
    <w:p w:rsidR="004F6099" w:rsidRDefault="00AD6F69" w:rsidP="007A2A59">
      <w:pPr>
        <w:jc w:val="center"/>
        <w:rPr>
          <w:b/>
          <w:bCs/>
        </w:rPr>
      </w:pPr>
      <w:r>
        <w:rPr>
          <w:b/>
          <w:bCs/>
        </w:rPr>
        <w:t>Relatório:</w:t>
      </w:r>
    </w:p>
    <w:p w:rsidR="00277274" w:rsidRDefault="00277274" w:rsidP="007A2A59">
      <w:pPr>
        <w:jc w:val="center"/>
        <w:rPr>
          <w:b/>
          <w:bCs/>
        </w:rPr>
      </w:pPr>
    </w:p>
    <w:p w:rsidR="00DD3694" w:rsidRDefault="00052047" w:rsidP="00DD3694">
      <w:pPr>
        <w:ind w:firstLine="708"/>
        <w:jc w:val="both"/>
        <w:rPr>
          <w:bCs/>
        </w:rPr>
      </w:pPr>
      <w:r>
        <w:rPr>
          <w:bCs/>
        </w:rPr>
        <w:t xml:space="preserve">O Projeto de Lei </w:t>
      </w:r>
      <w:r w:rsidR="00DD3694">
        <w:rPr>
          <w:bCs/>
        </w:rPr>
        <w:t>em análise, de Origem do Poder Executivo, foi li</w:t>
      </w:r>
      <w:r w:rsidR="00947611">
        <w:rPr>
          <w:bCs/>
        </w:rPr>
        <w:t xml:space="preserve">do na sessão ordinária </w:t>
      </w:r>
      <w:r w:rsidR="004B014C">
        <w:rPr>
          <w:bCs/>
        </w:rPr>
        <w:t>do dia 15</w:t>
      </w:r>
      <w:r w:rsidR="00EA39EB">
        <w:rPr>
          <w:bCs/>
        </w:rPr>
        <w:t>/02</w:t>
      </w:r>
      <w:r w:rsidR="007A2A59">
        <w:rPr>
          <w:bCs/>
        </w:rPr>
        <w:t>/2016</w:t>
      </w:r>
      <w:r w:rsidR="000D64F9">
        <w:rPr>
          <w:bCs/>
        </w:rPr>
        <w:t>.</w:t>
      </w:r>
    </w:p>
    <w:p w:rsidR="00880227" w:rsidRDefault="00880227" w:rsidP="00DD3694">
      <w:pPr>
        <w:ind w:firstLine="708"/>
        <w:jc w:val="both"/>
        <w:rPr>
          <w:bCs/>
        </w:rPr>
      </w:pPr>
      <w:r>
        <w:rPr>
          <w:bCs/>
        </w:rPr>
        <w:t xml:space="preserve">Solicitou-se orientação jurídica a qual transcreve-se a seguir: </w:t>
      </w:r>
    </w:p>
    <w:p w:rsidR="009F72F3" w:rsidRPr="009F72F3" w:rsidRDefault="009F72F3" w:rsidP="007A2A59">
      <w:pPr>
        <w:jc w:val="both"/>
        <w:rPr>
          <w:bCs/>
          <w:i/>
        </w:rPr>
      </w:pPr>
    </w:p>
    <w:p w:rsidR="007037A0" w:rsidRPr="007037A0" w:rsidRDefault="007037A0" w:rsidP="007037A0">
      <w:pPr>
        <w:ind w:left="1134" w:firstLine="708"/>
        <w:jc w:val="both"/>
        <w:rPr>
          <w:bCs/>
          <w:i/>
        </w:rPr>
      </w:pPr>
    </w:p>
    <w:p w:rsidR="00277274" w:rsidRPr="00277274" w:rsidRDefault="00277274" w:rsidP="00277274">
      <w:pPr>
        <w:ind w:left="1134" w:firstLine="708"/>
        <w:jc w:val="both"/>
        <w:rPr>
          <w:bCs/>
          <w:i/>
        </w:rPr>
      </w:pPr>
      <w:r w:rsidRPr="00277274">
        <w:rPr>
          <w:bCs/>
          <w:i/>
        </w:rPr>
        <w:t>O projeto de lei ora analisado não possui vício de origem, o que viabiliza tecnicamente a sua tramitação, posto que a sua iniciativa partiu do Executivo Municipal.</w:t>
      </w:r>
    </w:p>
    <w:p w:rsidR="00277274" w:rsidRPr="00277274" w:rsidRDefault="00277274" w:rsidP="00277274">
      <w:pPr>
        <w:ind w:left="1134" w:firstLine="708"/>
        <w:jc w:val="both"/>
        <w:rPr>
          <w:bCs/>
          <w:i/>
        </w:rPr>
      </w:pPr>
      <w:r w:rsidRPr="00277274">
        <w:rPr>
          <w:bCs/>
          <w:i/>
        </w:rPr>
        <w:t>Referente ao aspecto formal é importante que seja observada a Lei Complementar nº 95, de 1998, bem como as sugestões expressas no Manual de Redação da Presidência da República.</w:t>
      </w:r>
    </w:p>
    <w:p w:rsidR="00277274" w:rsidRPr="00277274" w:rsidRDefault="00277274" w:rsidP="00277274">
      <w:pPr>
        <w:ind w:left="1134" w:firstLine="708"/>
        <w:jc w:val="both"/>
        <w:rPr>
          <w:bCs/>
          <w:i/>
        </w:rPr>
      </w:pPr>
      <w:r w:rsidRPr="00277274">
        <w:rPr>
          <w:bCs/>
          <w:i/>
        </w:rPr>
        <w:t>Indica-se a substituição, na emenda e no art. 1º, da expressão “celebrar convênio” por “repassar recursos financeiros”, a fim de atender ao Princípio da Independência dos Poderes (art. 2º da CF) e a vasta jurisprudência junto ao Supremo Tribunal Federal (STF).</w:t>
      </w:r>
    </w:p>
    <w:p w:rsidR="00277274" w:rsidRPr="00277274" w:rsidRDefault="00277274" w:rsidP="00277274">
      <w:pPr>
        <w:ind w:left="1134" w:firstLine="708"/>
        <w:jc w:val="both"/>
        <w:rPr>
          <w:bCs/>
          <w:i/>
        </w:rPr>
      </w:pPr>
      <w:r w:rsidRPr="00277274">
        <w:rPr>
          <w:bCs/>
          <w:i/>
        </w:rPr>
        <w:t>Assim, propõe-se que as redações da ementa e do art. 1º sejam alterados, passando, portanto, a vigorarem como segue:</w:t>
      </w:r>
    </w:p>
    <w:p w:rsidR="00277274" w:rsidRPr="00277274" w:rsidRDefault="00277274" w:rsidP="00277274">
      <w:pPr>
        <w:ind w:left="1134" w:firstLine="708"/>
        <w:jc w:val="both"/>
        <w:rPr>
          <w:bCs/>
          <w:i/>
        </w:rPr>
      </w:pPr>
    </w:p>
    <w:p w:rsidR="00277274" w:rsidRPr="00277274" w:rsidRDefault="00277274" w:rsidP="00277274">
      <w:pPr>
        <w:ind w:left="1134" w:firstLine="708"/>
        <w:jc w:val="both"/>
        <w:rPr>
          <w:bCs/>
          <w:i/>
        </w:rPr>
      </w:pPr>
      <w:r w:rsidRPr="00277274">
        <w:rPr>
          <w:bCs/>
          <w:i/>
        </w:rPr>
        <w:t>“Autoriza o Município de Três Passos a repassar recursos financeiros a SAMMLAVE – Sociedade Assistencial a Meninos e Meninas de Lagoa Vermelha”</w:t>
      </w:r>
    </w:p>
    <w:p w:rsidR="00277274" w:rsidRPr="00277274" w:rsidRDefault="00277274" w:rsidP="00277274">
      <w:pPr>
        <w:ind w:left="1134" w:firstLine="708"/>
        <w:jc w:val="both"/>
        <w:rPr>
          <w:bCs/>
          <w:i/>
        </w:rPr>
      </w:pPr>
    </w:p>
    <w:p w:rsidR="00277274" w:rsidRPr="00277274" w:rsidRDefault="00277274" w:rsidP="00277274">
      <w:pPr>
        <w:ind w:left="1134" w:firstLine="708"/>
        <w:jc w:val="both"/>
        <w:rPr>
          <w:bCs/>
          <w:i/>
        </w:rPr>
      </w:pPr>
      <w:r w:rsidRPr="00277274">
        <w:rPr>
          <w:bCs/>
          <w:i/>
        </w:rPr>
        <w:t xml:space="preserve">“Art. 1º Fica autorizado o Poder Executivo de Três Passos a conceder auxílio financeiro no valor de R$ R$ 1.850,00 (um mil oitocentos e cinquenta reais) a SAMMLAVE – Sociedade Assistencial a Meninos e Meninas de </w:t>
      </w:r>
      <w:r w:rsidRPr="00277274">
        <w:rPr>
          <w:bCs/>
          <w:i/>
        </w:rPr>
        <w:lastRenderedPageBreak/>
        <w:t xml:space="preserve">Lagoa Vermelha, nos termos da minuta do convênio em anexo, que faz parte integrante da presente </w:t>
      </w:r>
      <w:r w:rsidR="00EE1893" w:rsidRPr="00277274">
        <w:rPr>
          <w:bCs/>
          <w:i/>
        </w:rPr>
        <w:t>lei. ”</w:t>
      </w:r>
    </w:p>
    <w:p w:rsidR="00277274" w:rsidRPr="00277274" w:rsidRDefault="00277274" w:rsidP="00277274">
      <w:pPr>
        <w:ind w:left="1134" w:firstLine="708"/>
        <w:jc w:val="both"/>
        <w:rPr>
          <w:bCs/>
          <w:i/>
        </w:rPr>
      </w:pPr>
    </w:p>
    <w:p w:rsidR="00277274" w:rsidRPr="00277274" w:rsidRDefault="00277274" w:rsidP="00277274">
      <w:pPr>
        <w:ind w:left="1134" w:firstLine="708"/>
        <w:jc w:val="both"/>
        <w:rPr>
          <w:bCs/>
          <w:i/>
        </w:rPr>
      </w:pPr>
      <w:r w:rsidRPr="00277274">
        <w:rPr>
          <w:bCs/>
          <w:i/>
        </w:rPr>
        <w:t xml:space="preserve">Propõe-se a supressão do art. 2º, uma vez que a despesa deve estar previamente autorizada na Lei Orçamentária Anual. Isto porque não é o artigo de Lei que garante a existência dos créditos, mas sim a previsão em Lei Orçamentária, situação está que dispensa tal informação no Projeto em tela. </w:t>
      </w:r>
    </w:p>
    <w:p w:rsidR="00277274" w:rsidRPr="00277274" w:rsidRDefault="00277274" w:rsidP="00277274">
      <w:pPr>
        <w:ind w:left="1134" w:firstLine="708"/>
        <w:jc w:val="both"/>
        <w:rPr>
          <w:bCs/>
          <w:i/>
        </w:rPr>
      </w:pPr>
      <w:r w:rsidRPr="00277274">
        <w:rPr>
          <w:bCs/>
          <w:i/>
        </w:rPr>
        <w:t>Em relação ao repasse financeiro, a Administração Pública deverá observar os princípios constitucionais, constantes no caput do art. 37 da Constituição Federal, da legalidade, impessoalidade, moralidade, publicidade e eficiência, tornando o ato legítimo e revestido de finalidade (interesse público)</w:t>
      </w:r>
    </w:p>
    <w:p w:rsidR="00277274" w:rsidRPr="00277274" w:rsidRDefault="00277274" w:rsidP="00277274">
      <w:pPr>
        <w:ind w:left="1134" w:firstLine="708"/>
        <w:jc w:val="both"/>
        <w:rPr>
          <w:bCs/>
          <w:i/>
        </w:rPr>
      </w:pPr>
      <w:r w:rsidRPr="00277274">
        <w:rPr>
          <w:bCs/>
          <w:i/>
        </w:rPr>
        <w:t>A Lei de Diretrizes Orçamentárias (LDO), cuja finalidade precípua é orientar a Lei Orçamentária Anual, deverá apresentar as condições e exigências necessárias, para que possam ser realizados os respectivos repasses no exercício da vigência da LDO, tendo esta exigência previsão no artigo 4º da Lei Complementar nº 101, de 2000 (LRF).</w:t>
      </w:r>
    </w:p>
    <w:p w:rsidR="00277274" w:rsidRPr="00277274" w:rsidRDefault="00277274" w:rsidP="00277274">
      <w:pPr>
        <w:ind w:left="1134" w:firstLine="708"/>
        <w:jc w:val="both"/>
        <w:rPr>
          <w:bCs/>
          <w:i/>
        </w:rPr>
      </w:pPr>
      <w:r w:rsidRPr="00277274">
        <w:rPr>
          <w:bCs/>
          <w:i/>
        </w:rPr>
        <w:t>Em relação à concessão de subvenções, contribuições e auxílios há que se averiguar, também, o disposto no artigo 26 da Lei Complementar nº 101, de 2000, que diz: “A destinação de recursos para, direta ou indiretamente, cobrir necessidade de pessoas físicas ou déficits de pessoas jurídicas deverá ser autorizada por lei específica, atender às condições estabelecidas na lei de diretrizes orçamentárias e estar prevista no orçamento ou em seus créditos adicionais”.</w:t>
      </w:r>
    </w:p>
    <w:p w:rsidR="00277274" w:rsidRPr="00277274" w:rsidRDefault="00277274" w:rsidP="00277274">
      <w:pPr>
        <w:ind w:left="1134" w:firstLine="708"/>
        <w:jc w:val="both"/>
        <w:rPr>
          <w:bCs/>
          <w:i/>
        </w:rPr>
      </w:pPr>
      <w:r w:rsidRPr="00277274">
        <w:rPr>
          <w:bCs/>
          <w:i/>
        </w:rPr>
        <w:t>Ainda importante observar todos os requisitos que dizem respeito a autorização de transferência dos recursos a entidades privadas dispostos no artigo 36 da Lei Municipal nº 5.127, de 2015, que dispõe sobre a LDO para o exercício de 2016.</w:t>
      </w:r>
    </w:p>
    <w:p w:rsidR="00277274" w:rsidRPr="00277274" w:rsidRDefault="00277274" w:rsidP="00277274">
      <w:pPr>
        <w:ind w:left="1134" w:firstLine="708"/>
        <w:jc w:val="both"/>
        <w:rPr>
          <w:bCs/>
          <w:i/>
        </w:rPr>
      </w:pPr>
      <w:r w:rsidRPr="00277274">
        <w:rPr>
          <w:bCs/>
          <w:i/>
        </w:rPr>
        <w:t xml:space="preserve"> </w:t>
      </w:r>
    </w:p>
    <w:p w:rsidR="00277274" w:rsidRPr="00277274" w:rsidRDefault="00277274" w:rsidP="00277274">
      <w:pPr>
        <w:ind w:left="1134" w:firstLine="708"/>
        <w:jc w:val="both"/>
        <w:rPr>
          <w:bCs/>
          <w:i/>
        </w:rPr>
      </w:pPr>
      <w:r w:rsidRPr="00277274">
        <w:rPr>
          <w:bCs/>
          <w:i/>
        </w:rPr>
        <w:t xml:space="preserve">Ademais, cumpre destacar que de acordo com IGAM (Instituto </w:t>
      </w:r>
      <w:r w:rsidR="00EE1893" w:rsidRPr="00277274">
        <w:rPr>
          <w:bCs/>
          <w:i/>
        </w:rPr>
        <w:t>Gama</w:t>
      </w:r>
      <w:r w:rsidRPr="00277274">
        <w:rPr>
          <w:bCs/>
          <w:i/>
        </w:rPr>
        <w:t xml:space="preserve"> de Assessoria a órgãos Públicos), é relevante que o Executivo observe os seguintes requisitos procedimentos quando o assunto é repasse de recursos financeiros à área privada, em se tratando de entidades sem fins lucrativos: </w:t>
      </w:r>
    </w:p>
    <w:p w:rsidR="00277274" w:rsidRPr="00277274" w:rsidRDefault="00277274" w:rsidP="00277274">
      <w:pPr>
        <w:ind w:left="1134" w:firstLine="708"/>
        <w:jc w:val="both"/>
        <w:rPr>
          <w:bCs/>
          <w:i/>
        </w:rPr>
      </w:pPr>
    </w:p>
    <w:p w:rsidR="00277274" w:rsidRPr="00277274" w:rsidRDefault="00277274" w:rsidP="00277274">
      <w:pPr>
        <w:ind w:left="1134" w:firstLine="708"/>
        <w:jc w:val="both"/>
        <w:rPr>
          <w:bCs/>
          <w:i/>
        </w:rPr>
      </w:pPr>
      <w:r w:rsidRPr="00277274">
        <w:rPr>
          <w:bCs/>
          <w:i/>
        </w:rPr>
        <w:t></w:t>
      </w:r>
      <w:r w:rsidRPr="00277274">
        <w:rPr>
          <w:bCs/>
          <w:i/>
        </w:rPr>
        <w:tab/>
        <w:t>Observar previsão, no texto da LDO, para as condições e requisitos para a transferência de recursos à área privada;</w:t>
      </w:r>
    </w:p>
    <w:p w:rsidR="00277274" w:rsidRPr="00277274" w:rsidRDefault="00277274" w:rsidP="00277274">
      <w:pPr>
        <w:ind w:left="1134" w:firstLine="708"/>
        <w:jc w:val="both"/>
        <w:rPr>
          <w:bCs/>
          <w:i/>
        </w:rPr>
      </w:pPr>
      <w:r w:rsidRPr="00277274">
        <w:rPr>
          <w:bCs/>
          <w:i/>
        </w:rPr>
        <w:t></w:t>
      </w:r>
      <w:r w:rsidRPr="00277274">
        <w:rPr>
          <w:bCs/>
          <w:i/>
        </w:rPr>
        <w:tab/>
        <w:t>A finalidade (objetivo) para a efetivação do repasse, por se tratar de despesa do Município, deverá estar contemplado, nos programas e ações constantes no Anexo de prioridades do PPA, da LDO e, também, deverá estar inserido orçamento anual ou seus créditos adicionais;</w:t>
      </w:r>
    </w:p>
    <w:p w:rsidR="00277274" w:rsidRPr="00277274" w:rsidRDefault="00277274" w:rsidP="00277274">
      <w:pPr>
        <w:ind w:left="1134" w:firstLine="708"/>
        <w:jc w:val="both"/>
        <w:rPr>
          <w:bCs/>
          <w:i/>
        </w:rPr>
      </w:pPr>
      <w:r w:rsidRPr="00277274">
        <w:rPr>
          <w:bCs/>
          <w:i/>
        </w:rPr>
        <w:t></w:t>
      </w:r>
      <w:r w:rsidRPr="00277274">
        <w:rPr>
          <w:bCs/>
          <w:i/>
        </w:rPr>
        <w:tab/>
        <w:t>Deverá ser apresentado plano de trabalho proposto pela organização interessada, devendo ser analisado pela Administração (gestor do recurso) o interesse público (finalidade) e a compatibilidade com os objetivos dos programas de governo, devendo, após esta apreciação, ser encaminhado para o respectivo conselho municipal (se for o caso: saúde, assistência, educação, etc.) para apreciação a aprovação;</w:t>
      </w:r>
    </w:p>
    <w:p w:rsidR="00277274" w:rsidRPr="00277274" w:rsidRDefault="00277274" w:rsidP="00277274">
      <w:pPr>
        <w:ind w:left="1134" w:firstLine="708"/>
        <w:jc w:val="both"/>
        <w:rPr>
          <w:bCs/>
          <w:i/>
        </w:rPr>
      </w:pPr>
      <w:r w:rsidRPr="00277274">
        <w:rPr>
          <w:bCs/>
          <w:i/>
        </w:rPr>
        <w:t></w:t>
      </w:r>
      <w:r w:rsidRPr="00277274">
        <w:rPr>
          <w:bCs/>
          <w:i/>
        </w:rPr>
        <w:tab/>
        <w:t>Deferimento ou indeferimento da Administração em relação ao pedido;</w:t>
      </w:r>
    </w:p>
    <w:p w:rsidR="00277274" w:rsidRPr="00277274" w:rsidRDefault="00277274" w:rsidP="00277274">
      <w:pPr>
        <w:ind w:left="1134" w:firstLine="708"/>
        <w:jc w:val="both"/>
        <w:rPr>
          <w:bCs/>
          <w:i/>
        </w:rPr>
      </w:pPr>
      <w:r w:rsidRPr="00277274">
        <w:rPr>
          <w:bCs/>
          <w:i/>
        </w:rPr>
        <w:t></w:t>
      </w:r>
      <w:r w:rsidRPr="00277274">
        <w:rPr>
          <w:bCs/>
          <w:i/>
        </w:rPr>
        <w:tab/>
        <w:t xml:space="preserve">Lei específica indicando o valor, a finalidade, a entidade beneficiada e o período do benefício, devendo na sua justificativa ficar transparente o interesse público (o motivo) do referido repasse; </w:t>
      </w:r>
    </w:p>
    <w:p w:rsidR="00277274" w:rsidRPr="00277274" w:rsidRDefault="00277274" w:rsidP="00277274">
      <w:pPr>
        <w:ind w:left="1134" w:firstLine="708"/>
        <w:jc w:val="both"/>
        <w:rPr>
          <w:bCs/>
          <w:i/>
        </w:rPr>
      </w:pPr>
      <w:r w:rsidRPr="00277274">
        <w:rPr>
          <w:bCs/>
          <w:i/>
        </w:rPr>
        <w:lastRenderedPageBreak/>
        <w:t></w:t>
      </w:r>
      <w:r w:rsidRPr="00277274">
        <w:rPr>
          <w:bCs/>
          <w:i/>
        </w:rPr>
        <w:tab/>
        <w:t>Firmar o contrato de repasse contendo cláusulas com valor, forma de repasse, período de aplicação, prazo para apresentação de contas, forma que se dará a prestação de contas, a penalidade no caso de não observância do plano de aplicação (trabalho), inclusive quanto aos prazos.</w:t>
      </w:r>
    </w:p>
    <w:p w:rsidR="00277274" w:rsidRPr="00277274" w:rsidRDefault="00277274" w:rsidP="00277274">
      <w:pPr>
        <w:ind w:left="1134" w:firstLine="708"/>
        <w:jc w:val="both"/>
        <w:rPr>
          <w:bCs/>
          <w:i/>
        </w:rPr>
      </w:pPr>
      <w:r w:rsidRPr="00277274">
        <w:rPr>
          <w:bCs/>
          <w:i/>
        </w:rPr>
        <w:t></w:t>
      </w:r>
      <w:r w:rsidRPr="00277274">
        <w:rPr>
          <w:bCs/>
          <w:i/>
        </w:rPr>
        <w:tab/>
        <w:t>Finalmente o valor pode ser repassado à entidade beneficiada, devendo, para tanto, se depositado em conta bancária específica de forma que a prestação de contas contemple a exigência do extrato da movimentação financeira do recurso repassado pelo Município.</w:t>
      </w:r>
    </w:p>
    <w:p w:rsidR="00277274" w:rsidRPr="00277274" w:rsidRDefault="00277274" w:rsidP="00277274">
      <w:pPr>
        <w:ind w:left="1134" w:firstLine="708"/>
        <w:jc w:val="both"/>
        <w:rPr>
          <w:bCs/>
          <w:i/>
        </w:rPr>
      </w:pPr>
      <w:r w:rsidRPr="00277274">
        <w:rPr>
          <w:bCs/>
          <w:i/>
        </w:rPr>
        <w:t></w:t>
      </w:r>
      <w:r w:rsidRPr="00277274">
        <w:rPr>
          <w:bCs/>
          <w:i/>
        </w:rPr>
        <w:tab/>
        <w:t>Sugere-se, por último, que o responsável pela análise da prestação de contas, ou outro órgão definido pela Administração, oriente os procedimentos ás entidades, tanto no que diz respeito à forma adequada para aplicação dos recursos na execução do plano de trabalho, como o conteúdo e a forma de apresentação da prestação de contas (documentos que devam integrar), de maneira que seja evitada a sua devolução ou rejeição.</w:t>
      </w:r>
    </w:p>
    <w:p w:rsidR="00277274" w:rsidRPr="00277274" w:rsidRDefault="00277274" w:rsidP="00277274">
      <w:pPr>
        <w:ind w:left="1134" w:firstLine="708"/>
        <w:jc w:val="both"/>
        <w:rPr>
          <w:bCs/>
          <w:i/>
        </w:rPr>
      </w:pPr>
      <w:r w:rsidRPr="00277274">
        <w:rPr>
          <w:bCs/>
          <w:i/>
        </w:rPr>
        <w:t></w:t>
      </w:r>
      <w:r w:rsidRPr="00277274">
        <w:rPr>
          <w:bCs/>
          <w:i/>
        </w:rPr>
        <w:tab/>
        <w:t xml:space="preserve">Realizar a publicação eletrônica no portal municipal com indicação do beneficiado conforme determina o TCU (IN 28/99). </w:t>
      </w:r>
    </w:p>
    <w:p w:rsidR="00277274" w:rsidRPr="00277274" w:rsidRDefault="00277274" w:rsidP="00277274">
      <w:pPr>
        <w:ind w:left="1134" w:firstLine="708"/>
        <w:jc w:val="both"/>
        <w:rPr>
          <w:bCs/>
          <w:i/>
        </w:rPr>
      </w:pPr>
    </w:p>
    <w:p w:rsidR="00277274" w:rsidRPr="00277274" w:rsidRDefault="00277274" w:rsidP="00277274">
      <w:pPr>
        <w:ind w:left="1134" w:firstLine="708"/>
        <w:jc w:val="both"/>
        <w:rPr>
          <w:bCs/>
          <w:i/>
        </w:rPr>
      </w:pPr>
      <w:r w:rsidRPr="00277274">
        <w:rPr>
          <w:bCs/>
          <w:i/>
        </w:rPr>
        <w:t>Ante o exposto, opina-se pela viabilidade técnica do projeto, desde que sejam atendidos os critérios apresentados na LDO 2016 e sejam observadas as demais orientações atinentes a técnica legislativa.</w:t>
      </w:r>
    </w:p>
    <w:p w:rsidR="00640622" w:rsidRDefault="00640622" w:rsidP="00277274">
      <w:pPr>
        <w:jc w:val="both"/>
        <w:rPr>
          <w:bCs/>
          <w:i/>
        </w:rPr>
      </w:pPr>
    </w:p>
    <w:p w:rsidR="00640622" w:rsidRDefault="00B235C2" w:rsidP="00277274">
      <w:pPr>
        <w:ind w:firstLine="708"/>
        <w:jc w:val="both"/>
        <w:rPr>
          <w:bCs/>
        </w:rPr>
      </w:pPr>
      <w:r w:rsidRPr="005132FF">
        <w:rPr>
          <w:bCs/>
        </w:rPr>
        <w:t xml:space="preserve">Não houve apresentação de emendas por parte dos Vereadores. </w:t>
      </w:r>
    </w:p>
    <w:p w:rsidR="00EA39EB" w:rsidRPr="005132FF" w:rsidRDefault="00EA39EB" w:rsidP="007A2A59">
      <w:pPr>
        <w:ind w:firstLine="708"/>
        <w:jc w:val="both"/>
        <w:rPr>
          <w:bCs/>
        </w:rPr>
      </w:pPr>
    </w:p>
    <w:p w:rsidR="00EA39EB" w:rsidRDefault="00AD6F69" w:rsidP="00793331">
      <w:pPr>
        <w:jc w:val="center"/>
        <w:rPr>
          <w:b/>
          <w:bCs/>
        </w:rPr>
      </w:pPr>
      <w:r>
        <w:rPr>
          <w:b/>
          <w:bCs/>
        </w:rPr>
        <w:t>Análise:</w:t>
      </w:r>
    </w:p>
    <w:p w:rsidR="00277274" w:rsidRPr="00277274" w:rsidRDefault="00EE1893" w:rsidP="00277274">
      <w:pPr>
        <w:ind w:firstLine="708"/>
        <w:jc w:val="both"/>
      </w:pPr>
      <w:r>
        <w:t xml:space="preserve">Embora </w:t>
      </w:r>
      <w:r w:rsidRPr="00277274">
        <w:t>a</w:t>
      </w:r>
      <w:r w:rsidR="00277274" w:rsidRPr="00277274">
        <w:t xml:space="preserve"> vasta</w:t>
      </w:r>
      <w:r w:rsidR="00277274">
        <w:t xml:space="preserve"> jurisprudência do</w:t>
      </w:r>
      <w:r w:rsidR="00793331">
        <w:t xml:space="preserve"> Supremo Tribunal Federal (STF)</w:t>
      </w:r>
      <w:r w:rsidR="00277274">
        <w:t xml:space="preserve"> considere que o convenio não dependa de autorização do Poder Legislativo, tendo em vista o p</w:t>
      </w:r>
      <w:r w:rsidR="00277274" w:rsidRPr="00277274">
        <w:t>rincípio da Independência dos Poderes (art. 2º da CF)</w:t>
      </w:r>
      <w:r w:rsidR="00277274">
        <w:t>, o</w:t>
      </w:r>
      <w:r w:rsidR="00277274" w:rsidRPr="002646B3">
        <w:rPr>
          <w:bCs/>
        </w:rPr>
        <w:t xml:space="preserve"> art. 87, XXX</w:t>
      </w:r>
      <w:r w:rsidR="00277274">
        <w:rPr>
          <w:bCs/>
        </w:rPr>
        <w:t>II da Lei Orgânica do Município determina que</w:t>
      </w:r>
      <w:r w:rsidR="00277274" w:rsidRPr="002646B3">
        <w:rPr>
          <w:bCs/>
        </w:rPr>
        <w:t xml:space="preserve"> o prefeito deverá dar ciência imediata à Câmara Municipal da assinatura de convêni</w:t>
      </w:r>
      <w:r w:rsidR="0050363F">
        <w:rPr>
          <w:bCs/>
        </w:rPr>
        <w:t>os firmados e,</w:t>
      </w:r>
      <w:r w:rsidR="00277274" w:rsidRPr="002646B3">
        <w:rPr>
          <w:bCs/>
        </w:rPr>
        <w:t xml:space="preserve"> nesse m</w:t>
      </w:r>
      <w:bookmarkStart w:id="0" w:name="_GoBack"/>
      <w:bookmarkEnd w:id="0"/>
      <w:r w:rsidR="00277274" w:rsidRPr="002646B3">
        <w:rPr>
          <w:bCs/>
        </w:rPr>
        <w:t>esmo sentido determina o art. 116, § 2º da Lei 8.666/93.</w:t>
      </w:r>
    </w:p>
    <w:p w:rsidR="00277274" w:rsidRDefault="00277274" w:rsidP="00277274">
      <w:pPr>
        <w:ind w:firstLine="708"/>
        <w:jc w:val="both"/>
        <w:rPr>
          <w:bCs/>
        </w:rPr>
      </w:pPr>
      <w:r w:rsidRPr="002646B3">
        <w:rPr>
          <w:bCs/>
        </w:rPr>
        <w:t xml:space="preserve">O convênio, portanto, é um ato de governo, de gestão, não cabendo a Câmara Municipal a prévia autorização ou retificação tendo em vista o princípio da independência e harmonia dos poderes, mas apenas o acompanhamento e fiscalização na execução do mesmo. </w:t>
      </w:r>
    </w:p>
    <w:p w:rsidR="00793331" w:rsidRDefault="00793331" w:rsidP="0050363F">
      <w:pPr>
        <w:ind w:firstLine="708"/>
        <w:jc w:val="both"/>
      </w:pPr>
      <w:r>
        <w:rPr>
          <w:color w:val="000000"/>
        </w:rPr>
        <w:t>Opina-se pela viabilidade do presente Projeto de Lei, uma vez que consoante orientação jurídica não há</w:t>
      </w:r>
      <w:r>
        <w:rPr>
          <w:bCs/>
        </w:rPr>
        <w:t xml:space="preserve"> </w:t>
      </w:r>
      <w:r w:rsidRPr="00E9482B">
        <w:t>víc</w:t>
      </w:r>
      <w:r>
        <w:t>ios de ordem formal ou material no mesmo, no entanto, solicita-</w:t>
      </w:r>
      <w:r w:rsidR="0050363F">
        <w:t>se o envio ao Poder Executivo da</w:t>
      </w:r>
      <w:r>
        <w:t xml:space="preserve"> sugestão</w:t>
      </w:r>
      <w:r w:rsidR="0050363F">
        <w:t xml:space="preserve"> recomendada na Orientação Técnica acima transcrita, referente a técnica legislativa, para</w:t>
      </w:r>
      <w:r>
        <w:t xml:space="preserve"> os próximos proje</w:t>
      </w:r>
      <w:r w:rsidR="0050363F">
        <w:t>tos sobre o mesmo tema.</w:t>
      </w:r>
    </w:p>
    <w:p w:rsidR="0050363F" w:rsidRDefault="0050363F" w:rsidP="0050363F">
      <w:pPr>
        <w:ind w:firstLine="708"/>
        <w:jc w:val="both"/>
      </w:pPr>
    </w:p>
    <w:p w:rsidR="0089771C" w:rsidRDefault="00447978" w:rsidP="003D63AD">
      <w:pPr>
        <w:jc w:val="center"/>
        <w:rPr>
          <w:b/>
        </w:rPr>
      </w:pPr>
      <w:r>
        <w:rPr>
          <w:b/>
        </w:rPr>
        <w:t>Conclusão do Voto:</w:t>
      </w:r>
    </w:p>
    <w:p w:rsidR="003D63AD" w:rsidRDefault="003D63AD" w:rsidP="003D63AD">
      <w:pPr>
        <w:jc w:val="center"/>
        <w:rPr>
          <w:b/>
        </w:rPr>
      </w:pPr>
    </w:p>
    <w:p w:rsidR="007037A0" w:rsidRDefault="00AD6F69" w:rsidP="00AD6F69">
      <w:pPr>
        <w:jc w:val="both"/>
      </w:pPr>
      <w:r>
        <w:rPr>
          <w:b/>
        </w:rPr>
        <w:tab/>
      </w:r>
      <w:r w:rsidRPr="007450B1">
        <w:t>Diant</w:t>
      </w:r>
      <w:r w:rsidR="00484795">
        <w:t>e dos fundam</w:t>
      </w:r>
      <w:r w:rsidR="00EA39EB">
        <w:t>entos expostos, est</w:t>
      </w:r>
      <w:r w:rsidR="00606240">
        <w:t>a</w:t>
      </w:r>
      <w:r w:rsidRPr="007450B1">
        <w:t xml:space="preserve"> Relator</w:t>
      </w:r>
      <w:r w:rsidR="00606240">
        <w:t>a</w:t>
      </w:r>
      <w:r w:rsidRPr="007450B1">
        <w:t xml:space="preserve"> disponibiliza o presente Voto Favorável à proposição. </w:t>
      </w:r>
    </w:p>
    <w:p w:rsidR="00793331" w:rsidRPr="008B1AE8" w:rsidRDefault="00793331" w:rsidP="00AD6F69">
      <w:pPr>
        <w:jc w:val="both"/>
      </w:pPr>
    </w:p>
    <w:p w:rsidR="001C0FD5" w:rsidRDefault="00AD6F69" w:rsidP="00AD6F69">
      <w:r>
        <w:rPr>
          <w:b/>
        </w:rPr>
        <w:tab/>
      </w:r>
      <w:r w:rsidR="00755094">
        <w:t>Sala das Co</w:t>
      </w:r>
      <w:r w:rsidR="00AB328F">
        <w:t xml:space="preserve">missões, em </w:t>
      </w:r>
      <w:r w:rsidR="004B014C">
        <w:t>18</w:t>
      </w:r>
      <w:r w:rsidR="00966B03">
        <w:t xml:space="preserve"> </w:t>
      </w:r>
      <w:r w:rsidR="005A62F2">
        <w:t>de fevereiro</w:t>
      </w:r>
      <w:r w:rsidR="00051BBE">
        <w:t xml:space="preserve"> de 201</w:t>
      </w:r>
      <w:r w:rsidR="005A62F2">
        <w:t>6</w:t>
      </w:r>
    </w:p>
    <w:p w:rsidR="007A2A59" w:rsidRDefault="007A2A59" w:rsidP="00AD6F69"/>
    <w:p w:rsidR="00EA39EB" w:rsidRDefault="00EA39EB" w:rsidP="00EA39EB">
      <w:pPr>
        <w:ind w:firstLine="708"/>
      </w:pPr>
      <w:r>
        <w:t>______________________________________</w:t>
      </w:r>
    </w:p>
    <w:p w:rsidR="00F3565A" w:rsidRPr="004A23F3" w:rsidRDefault="00606240" w:rsidP="00EA39EB">
      <w:pPr>
        <w:ind w:firstLine="708"/>
      </w:pPr>
      <w:r>
        <w:t xml:space="preserve">    LÉLIA MÜLLER</w:t>
      </w:r>
      <w:r w:rsidR="00D05BFA">
        <w:t xml:space="preserve"> – RELATOR</w:t>
      </w:r>
      <w:r>
        <w:t>A</w:t>
      </w:r>
    </w:p>
    <w:p w:rsidR="00F0251F" w:rsidRDefault="00F0251F" w:rsidP="00AB328F"/>
    <w:p w:rsidR="004B014C" w:rsidRDefault="004B014C" w:rsidP="00AB328F"/>
    <w:p w:rsidR="007A2A59" w:rsidRDefault="00AB328F" w:rsidP="007A2A59">
      <w:pPr>
        <w:rPr>
          <w:b/>
        </w:rPr>
      </w:pPr>
      <w:r w:rsidRPr="00387FA5">
        <w:rPr>
          <w:b/>
        </w:rPr>
        <w:t>Pelas Conclusões:</w:t>
      </w:r>
    </w:p>
    <w:p w:rsidR="007A2A59" w:rsidRPr="007A2A59" w:rsidRDefault="007A2A59" w:rsidP="007A2A59">
      <w:pPr>
        <w:rPr>
          <w:b/>
        </w:rPr>
      </w:pPr>
    </w:p>
    <w:p w:rsidR="00AB328F" w:rsidRPr="004A23F3" w:rsidRDefault="00B07737" w:rsidP="00AB328F">
      <w:pPr>
        <w:ind w:firstLine="708"/>
      </w:pPr>
      <w:r>
        <w:t>_____</w:t>
      </w:r>
      <w:r w:rsidR="00AB328F" w:rsidRPr="004A23F3">
        <w:t>_________________</w:t>
      </w:r>
      <w:r w:rsidR="003E58A8">
        <w:t>_____________</w:t>
      </w:r>
      <w:r w:rsidR="00052047">
        <w:t>___</w:t>
      </w:r>
    </w:p>
    <w:p w:rsidR="007A2A59" w:rsidRDefault="007A2A59" w:rsidP="007A2A59">
      <w:pPr>
        <w:ind w:firstLine="708"/>
      </w:pPr>
      <w:r>
        <w:t xml:space="preserve">      CARLITO SOMMER – </w:t>
      </w:r>
      <w:r w:rsidR="00AB328F" w:rsidRPr="004A23F3">
        <w:t>PRESIDENTE</w:t>
      </w:r>
    </w:p>
    <w:p w:rsidR="00606240" w:rsidRDefault="00606240" w:rsidP="007A2A59">
      <w:pPr>
        <w:ind w:firstLine="708"/>
      </w:pPr>
    </w:p>
    <w:p w:rsidR="00606240" w:rsidRDefault="00606240" w:rsidP="007A2A59">
      <w:pPr>
        <w:ind w:firstLine="708"/>
      </w:pPr>
    </w:p>
    <w:p w:rsidR="00606240" w:rsidRDefault="00606240" w:rsidP="00606240">
      <w:pPr>
        <w:ind w:firstLine="708"/>
      </w:pPr>
      <w:r>
        <w:t>______________________________________</w:t>
      </w:r>
    </w:p>
    <w:p w:rsidR="00606240" w:rsidRPr="004A23F3" w:rsidRDefault="00606240" w:rsidP="00606240">
      <w:pPr>
        <w:ind w:firstLine="708"/>
      </w:pPr>
      <w:r>
        <w:t xml:space="preserve">    IDO RHODEN – VICE PRESIDENTE</w:t>
      </w:r>
    </w:p>
    <w:p w:rsidR="00606240" w:rsidRDefault="00606240" w:rsidP="00606240"/>
    <w:p w:rsidR="00606240" w:rsidRDefault="00606240" w:rsidP="007A2A59">
      <w:pPr>
        <w:ind w:firstLine="708"/>
      </w:pPr>
    </w:p>
    <w:sectPr w:rsidR="00606240" w:rsidSect="00447978">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6E34" w:rsidRDefault="00E96E34" w:rsidP="00052047">
      <w:r>
        <w:separator/>
      </w:r>
    </w:p>
  </w:endnote>
  <w:endnote w:type="continuationSeparator" w:id="0">
    <w:p w:rsidR="00E96E34" w:rsidRDefault="00E96E34"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6E34" w:rsidRDefault="00E96E34" w:rsidP="00052047">
      <w:r>
        <w:separator/>
      </w:r>
    </w:p>
  </w:footnote>
  <w:footnote w:type="continuationSeparator" w:id="0">
    <w:p w:rsidR="00E96E34" w:rsidRDefault="00E96E34" w:rsidP="000520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FCE"/>
    <w:rsid w:val="00011FB5"/>
    <w:rsid w:val="00027F8B"/>
    <w:rsid w:val="0004207B"/>
    <w:rsid w:val="00043E8D"/>
    <w:rsid w:val="00051BBE"/>
    <w:rsid w:val="00052047"/>
    <w:rsid w:val="000558D3"/>
    <w:rsid w:val="00064EB1"/>
    <w:rsid w:val="000718D0"/>
    <w:rsid w:val="00075A97"/>
    <w:rsid w:val="00077222"/>
    <w:rsid w:val="00080D2A"/>
    <w:rsid w:val="000A1194"/>
    <w:rsid w:val="000B60F0"/>
    <w:rsid w:val="000D207D"/>
    <w:rsid w:val="000D64F9"/>
    <w:rsid w:val="000E2419"/>
    <w:rsid w:val="000E4816"/>
    <w:rsid w:val="000E70EB"/>
    <w:rsid w:val="0010109D"/>
    <w:rsid w:val="00106169"/>
    <w:rsid w:val="00141A57"/>
    <w:rsid w:val="00142955"/>
    <w:rsid w:val="00162706"/>
    <w:rsid w:val="00176416"/>
    <w:rsid w:val="001811F9"/>
    <w:rsid w:val="00183811"/>
    <w:rsid w:val="00183F78"/>
    <w:rsid w:val="001840BB"/>
    <w:rsid w:val="001A0540"/>
    <w:rsid w:val="001A3014"/>
    <w:rsid w:val="001A3659"/>
    <w:rsid w:val="001A6238"/>
    <w:rsid w:val="001C0FD5"/>
    <w:rsid w:val="001C1CA6"/>
    <w:rsid w:val="001D05BA"/>
    <w:rsid w:val="001E4586"/>
    <w:rsid w:val="001E60CF"/>
    <w:rsid w:val="00202507"/>
    <w:rsid w:val="0022329C"/>
    <w:rsid w:val="00231D64"/>
    <w:rsid w:val="0023489C"/>
    <w:rsid w:val="00237E83"/>
    <w:rsid w:val="002731B6"/>
    <w:rsid w:val="0027537F"/>
    <w:rsid w:val="00277274"/>
    <w:rsid w:val="0028236F"/>
    <w:rsid w:val="00291D20"/>
    <w:rsid w:val="002C6830"/>
    <w:rsid w:val="002D7A78"/>
    <w:rsid w:val="002E3FD6"/>
    <w:rsid w:val="00305440"/>
    <w:rsid w:val="0031145E"/>
    <w:rsid w:val="00317EC3"/>
    <w:rsid w:val="0032127B"/>
    <w:rsid w:val="00326871"/>
    <w:rsid w:val="00350C6E"/>
    <w:rsid w:val="00357B78"/>
    <w:rsid w:val="0036240F"/>
    <w:rsid w:val="00371199"/>
    <w:rsid w:val="00373045"/>
    <w:rsid w:val="003760E4"/>
    <w:rsid w:val="00376C54"/>
    <w:rsid w:val="003924B5"/>
    <w:rsid w:val="003C337D"/>
    <w:rsid w:val="003D00EB"/>
    <w:rsid w:val="003D63AD"/>
    <w:rsid w:val="003E45BA"/>
    <w:rsid w:val="003E58A8"/>
    <w:rsid w:val="00405930"/>
    <w:rsid w:val="004116A1"/>
    <w:rsid w:val="00445DC2"/>
    <w:rsid w:val="00447978"/>
    <w:rsid w:val="00452F82"/>
    <w:rsid w:val="00454545"/>
    <w:rsid w:val="00461440"/>
    <w:rsid w:val="00462F38"/>
    <w:rsid w:val="00477CF6"/>
    <w:rsid w:val="00482BE3"/>
    <w:rsid w:val="00484795"/>
    <w:rsid w:val="00484E4F"/>
    <w:rsid w:val="004A2736"/>
    <w:rsid w:val="004B014C"/>
    <w:rsid w:val="004B5DA3"/>
    <w:rsid w:val="004C5155"/>
    <w:rsid w:val="004C6EFE"/>
    <w:rsid w:val="004D66E9"/>
    <w:rsid w:val="004D7899"/>
    <w:rsid w:val="004E2CAA"/>
    <w:rsid w:val="004F6099"/>
    <w:rsid w:val="004F72F3"/>
    <w:rsid w:val="0050121D"/>
    <w:rsid w:val="005021E0"/>
    <w:rsid w:val="0050363F"/>
    <w:rsid w:val="00504AD5"/>
    <w:rsid w:val="00505B50"/>
    <w:rsid w:val="005132FF"/>
    <w:rsid w:val="00523C39"/>
    <w:rsid w:val="00556797"/>
    <w:rsid w:val="0055748E"/>
    <w:rsid w:val="00562361"/>
    <w:rsid w:val="005654D5"/>
    <w:rsid w:val="005739B5"/>
    <w:rsid w:val="005A3D97"/>
    <w:rsid w:val="005A62F2"/>
    <w:rsid w:val="005B01F0"/>
    <w:rsid w:val="005E284D"/>
    <w:rsid w:val="005F0D9B"/>
    <w:rsid w:val="00606240"/>
    <w:rsid w:val="00640622"/>
    <w:rsid w:val="00640CB7"/>
    <w:rsid w:val="00644E2A"/>
    <w:rsid w:val="00673624"/>
    <w:rsid w:val="006740E3"/>
    <w:rsid w:val="006748DA"/>
    <w:rsid w:val="00681602"/>
    <w:rsid w:val="006921BD"/>
    <w:rsid w:val="006B1E42"/>
    <w:rsid w:val="006B4144"/>
    <w:rsid w:val="006B7F3D"/>
    <w:rsid w:val="006C07DD"/>
    <w:rsid w:val="006C2757"/>
    <w:rsid w:val="006C7648"/>
    <w:rsid w:val="007037A0"/>
    <w:rsid w:val="00711109"/>
    <w:rsid w:val="00732943"/>
    <w:rsid w:val="007343F0"/>
    <w:rsid w:val="00742A00"/>
    <w:rsid w:val="007524FD"/>
    <w:rsid w:val="00752503"/>
    <w:rsid w:val="00755094"/>
    <w:rsid w:val="007641EA"/>
    <w:rsid w:val="00770495"/>
    <w:rsid w:val="0077087B"/>
    <w:rsid w:val="00776938"/>
    <w:rsid w:val="00787D2E"/>
    <w:rsid w:val="00793331"/>
    <w:rsid w:val="007945E1"/>
    <w:rsid w:val="00797B47"/>
    <w:rsid w:val="007A2A59"/>
    <w:rsid w:val="007A566E"/>
    <w:rsid w:val="007B5106"/>
    <w:rsid w:val="007B6B4C"/>
    <w:rsid w:val="007C5565"/>
    <w:rsid w:val="007C5859"/>
    <w:rsid w:val="007D6404"/>
    <w:rsid w:val="007E7216"/>
    <w:rsid w:val="00801F20"/>
    <w:rsid w:val="00806C53"/>
    <w:rsid w:val="00806F99"/>
    <w:rsid w:val="00820A8F"/>
    <w:rsid w:val="00824CB1"/>
    <w:rsid w:val="00831154"/>
    <w:rsid w:val="0085294F"/>
    <w:rsid w:val="00866272"/>
    <w:rsid w:val="00871AE9"/>
    <w:rsid w:val="00877194"/>
    <w:rsid w:val="00880227"/>
    <w:rsid w:val="00880381"/>
    <w:rsid w:val="008805A1"/>
    <w:rsid w:val="008946E6"/>
    <w:rsid w:val="008961AE"/>
    <w:rsid w:val="00897259"/>
    <w:rsid w:val="0089771C"/>
    <w:rsid w:val="008A6D3E"/>
    <w:rsid w:val="008B1AE8"/>
    <w:rsid w:val="008D1242"/>
    <w:rsid w:val="008E7AF1"/>
    <w:rsid w:val="008F1135"/>
    <w:rsid w:val="008F1146"/>
    <w:rsid w:val="008F27E3"/>
    <w:rsid w:val="008F3E80"/>
    <w:rsid w:val="008F64BA"/>
    <w:rsid w:val="00905885"/>
    <w:rsid w:val="00906204"/>
    <w:rsid w:val="00912357"/>
    <w:rsid w:val="00914DB5"/>
    <w:rsid w:val="009330FE"/>
    <w:rsid w:val="00937518"/>
    <w:rsid w:val="00947611"/>
    <w:rsid w:val="00952849"/>
    <w:rsid w:val="0095314E"/>
    <w:rsid w:val="00957B11"/>
    <w:rsid w:val="00966B03"/>
    <w:rsid w:val="00982DE9"/>
    <w:rsid w:val="00987B83"/>
    <w:rsid w:val="00991012"/>
    <w:rsid w:val="009C60C3"/>
    <w:rsid w:val="009C7CA3"/>
    <w:rsid w:val="009F72F3"/>
    <w:rsid w:val="00A139AE"/>
    <w:rsid w:val="00A22338"/>
    <w:rsid w:val="00A2497B"/>
    <w:rsid w:val="00A41A99"/>
    <w:rsid w:val="00A43A37"/>
    <w:rsid w:val="00A55211"/>
    <w:rsid w:val="00A60278"/>
    <w:rsid w:val="00A67E53"/>
    <w:rsid w:val="00A71D28"/>
    <w:rsid w:val="00A7302D"/>
    <w:rsid w:val="00A773AD"/>
    <w:rsid w:val="00A808B4"/>
    <w:rsid w:val="00A85894"/>
    <w:rsid w:val="00A85C7D"/>
    <w:rsid w:val="00A932AE"/>
    <w:rsid w:val="00A94C72"/>
    <w:rsid w:val="00A96919"/>
    <w:rsid w:val="00AA6015"/>
    <w:rsid w:val="00AB328F"/>
    <w:rsid w:val="00AD6F69"/>
    <w:rsid w:val="00AE1817"/>
    <w:rsid w:val="00AE45FB"/>
    <w:rsid w:val="00AE4CE2"/>
    <w:rsid w:val="00AF0262"/>
    <w:rsid w:val="00AF3B26"/>
    <w:rsid w:val="00AF3D15"/>
    <w:rsid w:val="00B04CA9"/>
    <w:rsid w:val="00B07737"/>
    <w:rsid w:val="00B235C2"/>
    <w:rsid w:val="00B300EA"/>
    <w:rsid w:val="00B31621"/>
    <w:rsid w:val="00B4220F"/>
    <w:rsid w:val="00B50355"/>
    <w:rsid w:val="00B81669"/>
    <w:rsid w:val="00B83867"/>
    <w:rsid w:val="00B85B22"/>
    <w:rsid w:val="00BA6DDF"/>
    <w:rsid w:val="00BB3AB0"/>
    <w:rsid w:val="00BD123B"/>
    <w:rsid w:val="00BE4F2B"/>
    <w:rsid w:val="00C05768"/>
    <w:rsid w:val="00C15D86"/>
    <w:rsid w:val="00C34097"/>
    <w:rsid w:val="00C47479"/>
    <w:rsid w:val="00C47D83"/>
    <w:rsid w:val="00C511BB"/>
    <w:rsid w:val="00C55899"/>
    <w:rsid w:val="00C74A3F"/>
    <w:rsid w:val="00C74F14"/>
    <w:rsid w:val="00C76B15"/>
    <w:rsid w:val="00CA38B1"/>
    <w:rsid w:val="00CB7E87"/>
    <w:rsid w:val="00CD1B2A"/>
    <w:rsid w:val="00CD6044"/>
    <w:rsid w:val="00CE4461"/>
    <w:rsid w:val="00CE7DA3"/>
    <w:rsid w:val="00D015A7"/>
    <w:rsid w:val="00D05BFA"/>
    <w:rsid w:val="00D127ED"/>
    <w:rsid w:val="00D463A1"/>
    <w:rsid w:val="00D63736"/>
    <w:rsid w:val="00D71FF0"/>
    <w:rsid w:val="00D765CD"/>
    <w:rsid w:val="00D9531E"/>
    <w:rsid w:val="00D96AC2"/>
    <w:rsid w:val="00DA3A75"/>
    <w:rsid w:val="00DD2A03"/>
    <w:rsid w:val="00DD3694"/>
    <w:rsid w:val="00DD7F22"/>
    <w:rsid w:val="00DE31B0"/>
    <w:rsid w:val="00DF2E17"/>
    <w:rsid w:val="00E01FFD"/>
    <w:rsid w:val="00E41092"/>
    <w:rsid w:val="00E44DA2"/>
    <w:rsid w:val="00E52FE9"/>
    <w:rsid w:val="00E709D9"/>
    <w:rsid w:val="00E8114F"/>
    <w:rsid w:val="00E8157C"/>
    <w:rsid w:val="00E877A6"/>
    <w:rsid w:val="00E921AA"/>
    <w:rsid w:val="00E96E34"/>
    <w:rsid w:val="00EA39EB"/>
    <w:rsid w:val="00ED213A"/>
    <w:rsid w:val="00ED5DD9"/>
    <w:rsid w:val="00EE1893"/>
    <w:rsid w:val="00EE26F0"/>
    <w:rsid w:val="00EE2EFB"/>
    <w:rsid w:val="00EE4F44"/>
    <w:rsid w:val="00EF3B2C"/>
    <w:rsid w:val="00F0251F"/>
    <w:rsid w:val="00F124CB"/>
    <w:rsid w:val="00F1446D"/>
    <w:rsid w:val="00F15A30"/>
    <w:rsid w:val="00F304CF"/>
    <w:rsid w:val="00F32ECD"/>
    <w:rsid w:val="00F3565A"/>
    <w:rsid w:val="00F6666E"/>
    <w:rsid w:val="00F667C3"/>
    <w:rsid w:val="00F677AA"/>
    <w:rsid w:val="00F76A68"/>
    <w:rsid w:val="00F76F93"/>
    <w:rsid w:val="00FA58D0"/>
    <w:rsid w:val="00FA676B"/>
    <w:rsid w:val="00FB137A"/>
    <w:rsid w:val="00FB65E8"/>
    <w:rsid w:val="00FE53A8"/>
    <w:rsid w:val="00FF580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1214</Words>
  <Characters>6561</Characters>
  <Application>Microsoft Office Word</Application>
  <DocSecurity>0</DocSecurity>
  <Lines>54</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dc:creator>
  <cp:lastModifiedBy>Usuário</cp:lastModifiedBy>
  <cp:revision>5</cp:revision>
  <cp:lastPrinted>2016-02-22T21:05:00Z</cp:lastPrinted>
  <dcterms:created xsi:type="dcterms:W3CDTF">2016-02-23T16:33:00Z</dcterms:created>
  <dcterms:modified xsi:type="dcterms:W3CDTF">2016-03-09T14:21:00Z</dcterms:modified>
</cp:coreProperties>
</file>