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5E5789">
        <w:t xml:space="preserve"> nº 10</w:t>
      </w:r>
      <w:r w:rsidR="007A2A59">
        <w:t>/2016</w:t>
      </w:r>
      <w:r w:rsidR="00F1446D">
        <w:tab/>
      </w:r>
      <w:r w:rsidR="00F1446D">
        <w:tab/>
      </w:r>
      <w:r w:rsidR="00F1446D">
        <w:tab/>
      </w:r>
      <w:r w:rsidR="00F1446D">
        <w:tab/>
      </w:r>
      <w:r w:rsidRPr="007450B1">
        <w:rPr>
          <w:b/>
        </w:rPr>
        <w:t>Data:</w:t>
      </w:r>
      <w:r w:rsidR="003924B5">
        <w:t xml:space="preserve"> </w:t>
      </w:r>
      <w:r w:rsidR="007A2A59">
        <w:t>28 de janeiro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5E5789">
        <w:t xml:space="preserve"> 06</w:t>
      </w:r>
      <w:r w:rsidR="002E3FD6">
        <w:t>/2016</w:t>
      </w:r>
      <w:r w:rsidR="00F1446D" w:rsidRPr="00004A55">
        <w:tab/>
      </w:r>
      <w:r>
        <w:tab/>
      </w:r>
      <w:r>
        <w:tab/>
      </w:r>
      <w:r w:rsidR="005E5789">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5E5789">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5E5789">
        <w:rPr>
          <w:b/>
          <w:bCs/>
        </w:rPr>
        <w:t xml:space="preserve"> Complementar</w:t>
      </w:r>
      <w:r w:rsidR="001C0FD5">
        <w:rPr>
          <w:b/>
          <w:bCs/>
        </w:rPr>
        <w:t xml:space="preserve"> </w:t>
      </w:r>
      <w:r w:rsidR="00AD6F69" w:rsidRPr="007450B1">
        <w:rPr>
          <w:b/>
          <w:bCs/>
        </w:rPr>
        <w:t>nº:</w:t>
      </w:r>
      <w:r w:rsidR="00A773AD">
        <w:rPr>
          <w:bCs/>
        </w:rPr>
        <w:t xml:space="preserve"> </w:t>
      </w:r>
      <w:r w:rsidR="005E5789">
        <w:rPr>
          <w:bCs/>
        </w:rPr>
        <w:t>02</w:t>
      </w:r>
      <w:r w:rsidR="007A2A59">
        <w:rPr>
          <w:bCs/>
        </w:rPr>
        <w:t>/16</w:t>
      </w:r>
    </w:p>
    <w:p w:rsidR="00AD6F69" w:rsidRDefault="00AD6F69" w:rsidP="00AD6F69">
      <w:pPr>
        <w:pStyle w:val="Recuodecorpodetexto"/>
        <w:ind w:left="3060" w:hanging="3240"/>
        <w:jc w:val="both"/>
        <w:rPr>
          <w:bCs/>
        </w:rPr>
      </w:pPr>
    </w:p>
    <w:p w:rsidR="005E5789" w:rsidRDefault="005E5789" w:rsidP="005E5789">
      <w:pPr>
        <w:pStyle w:val="Recuodecorpodetexto"/>
        <w:ind w:left="3060" w:firstLine="0"/>
        <w:jc w:val="both"/>
        <w:rPr>
          <w:bCs/>
        </w:rPr>
      </w:pPr>
      <w:r>
        <w:rPr>
          <w:bCs/>
        </w:rPr>
        <w:t>PROJETO DE LEI Nº 02</w:t>
      </w:r>
      <w:r w:rsidR="007A2A59" w:rsidRPr="007A2A59">
        <w:rPr>
          <w:bCs/>
        </w:rPr>
        <w:t>/16 –</w:t>
      </w:r>
      <w:r w:rsidRPr="005E5789">
        <w:rPr>
          <w:bCs/>
        </w:rPr>
        <w:t xml:space="preserve"> </w:t>
      </w:r>
      <w:r>
        <w:rPr>
          <w:bCs/>
        </w:rPr>
        <w:t xml:space="preserve">Altera a Lei Complementar nº 3.210, de 27 de dezembro de 1995 (Código de Posturas). </w:t>
      </w:r>
    </w:p>
    <w:p w:rsidR="00C929B5" w:rsidRPr="007A2A59" w:rsidRDefault="00C929B5" w:rsidP="007A2A5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EA39EB">
        <w:rPr>
          <w:bCs/>
        </w:rPr>
        <w:t>do dia 1°/02</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5E5789" w:rsidRPr="005E5789" w:rsidRDefault="005E5789" w:rsidP="005E5789">
      <w:pPr>
        <w:ind w:left="1134" w:firstLine="708"/>
        <w:jc w:val="both"/>
        <w:rPr>
          <w:bCs/>
          <w:i/>
        </w:rPr>
      </w:pPr>
      <w:r w:rsidRPr="005E5789">
        <w:rPr>
          <w:bCs/>
          <w:i/>
        </w:rPr>
        <w:t xml:space="preserve">Inicialmente, cabe ressaltar que as normatizações do poder público sobre a acessibilidade da pessoa portadora de deficiência física vão de encontro com o princípio da igualdade, pois visam proporcionar a estas o acesso ao lazer, à educação, à saúde, ao esporte, enfim, à convivência comunitária, efetivando, dessa forma, a da dignidade da pessoa portadora de deficiência física.  </w:t>
      </w:r>
    </w:p>
    <w:p w:rsidR="005E5789" w:rsidRPr="005E5789" w:rsidRDefault="005E5789" w:rsidP="005E5789">
      <w:pPr>
        <w:ind w:left="1134" w:firstLine="708"/>
        <w:jc w:val="both"/>
        <w:rPr>
          <w:bCs/>
          <w:i/>
        </w:rPr>
      </w:pPr>
      <w:r w:rsidRPr="005E5789">
        <w:rPr>
          <w:bCs/>
          <w:i/>
        </w:rPr>
        <w:t xml:space="preserve">Os Municípios, na condição de entes federados, dotados de autonomia política, financeira e administrativa, regidos pelas suas Leis Orgânicas, detém de competência para legislar sobre assunto de interesse local, de acordo com o disposto no inciso I do art. 30, da Constituição Federal. </w:t>
      </w:r>
    </w:p>
    <w:p w:rsidR="005E5789" w:rsidRPr="005E5789" w:rsidRDefault="005E5789" w:rsidP="005E5789">
      <w:pPr>
        <w:ind w:left="1134" w:firstLine="708"/>
        <w:jc w:val="both"/>
        <w:rPr>
          <w:bCs/>
          <w:i/>
        </w:rPr>
      </w:pPr>
      <w:r w:rsidRPr="005E5789">
        <w:rPr>
          <w:bCs/>
          <w:i/>
        </w:rPr>
        <w:t>Além disso, a Carta Maior determina a competência comum da União, Estados, do Distrito Federal e dos Municípios no que toca à proteção e garantias das pessoas portadoras de deficiência:</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Art. 23. É competência comum da União, dos Estados, do Distrito Federal e dos Municípios:</w:t>
      </w:r>
    </w:p>
    <w:p w:rsidR="005E5789" w:rsidRPr="005E5789" w:rsidRDefault="005E5789" w:rsidP="005E5789">
      <w:pPr>
        <w:ind w:left="1134" w:firstLine="708"/>
        <w:jc w:val="both"/>
        <w:rPr>
          <w:bCs/>
          <w:i/>
        </w:rPr>
      </w:pPr>
      <w:r w:rsidRPr="005E5789">
        <w:rPr>
          <w:bCs/>
          <w:i/>
        </w:rPr>
        <w:t>II - cuidar da saúde e assistência pública, da proteção e garantia das pessoas portadoras de deficiência;</w:t>
      </w:r>
    </w:p>
    <w:p w:rsidR="005E5789" w:rsidRPr="005E5789" w:rsidRDefault="005E5789" w:rsidP="005E5789">
      <w:pPr>
        <w:ind w:left="1134" w:firstLine="708"/>
        <w:jc w:val="both"/>
        <w:rPr>
          <w:bCs/>
          <w:i/>
        </w:rPr>
      </w:pPr>
    </w:p>
    <w:p w:rsidR="005E5789" w:rsidRPr="005E5789" w:rsidRDefault="005E5789" w:rsidP="00574D39">
      <w:pPr>
        <w:ind w:left="1134" w:firstLine="708"/>
        <w:jc w:val="both"/>
        <w:rPr>
          <w:bCs/>
          <w:i/>
        </w:rPr>
      </w:pPr>
      <w:r w:rsidRPr="005E5789">
        <w:rPr>
          <w:bCs/>
          <w:i/>
        </w:rPr>
        <w:t xml:space="preserve">Por sua vez, a Lei Federal 10.098, de 19 de dezembro de 2000, estabelece normas gerais e critérios básicos para a promoção da acessibilidade das pessoas portadoras de deficiência ou com mobilidade </w:t>
      </w:r>
      <w:r w:rsidRPr="005E5789">
        <w:rPr>
          <w:bCs/>
          <w:i/>
        </w:rPr>
        <w:lastRenderedPageBreak/>
        <w:t>reduzida e dispõe sobre a acessibilidade nos prédios</w:t>
      </w:r>
      <w:r w:rsidR="00574D39">
        <w:rPr>
          <w:bCs/>
          <w:i/>
        </w:rPr>
        <w:t xml:space="preserve"> públicos, no seguinte sentido:</w:t>
      </w:r>
    </w:p>
    <w:p w:rsidR="005E5789" w:rsidRPr="005E5789" w:rsidRDefault="005E5789" w:rsidP="005E5789">
      <w:pPr>
        <w:ind w:left="1134" w:firstLine="708"/>
        <w:jc w:val="both"/>
        <w:rPr>
          <w:bCs/>
          <w:i/>
        </w:rPr>
      </w:pPr>
      <w:r w:rsidRPr="005E5789">
        <w:rPr>
          <w:bCs/>
          <w:i/>
        </w:rPr>
        <w:t>Art. 1o Esta Lei estabelece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w:t>
      </w:r>
    </w:p>
    <w:p w:rsidR="005E5789" w:rsidRPr="005E5789" w:rsidRDefault="005E5789" w:rsidP="005E5789">
      <w:pPr>
        <w:ind w:left="1134" w:firstLine="708"/>
        <w:jc w:val="both"/>
        <w:rPr>
          <w:bCs/>
          <w:i/>
        </w:rPr>
      </w:pPr>
      <w:r w:rsidRPr="005E5789">
        <w:rPr>
          <w:bCs/>
          <w:i/>
        </w:rPr>
        <w:t>Art. 2o Para os fins desta Lei são estabelecidas as seguintes definições:</w:t>
      </w:r>
    </w:p>
    <w:p w:rsidR="005E5789" w:rsidRPr="005E5789" w:rsidRDefault="005E5789" w:rsidP="005E5789">
      <w:pPr>
        <w:ind w:left="1134" w:firstLine="708"/>
        <w:jc w:val="both"/>
        <w:rPr>
          <w:bCs/>
          <w:i/>
        </w:rPr>
      </w:pPr>
      <w:r w:rsidRPr="005E5789">
        <w:rPr>
          <w:bCs/>
          <w:i/>
        </w:rPr>
        <w:t xml:space="preserve">I - acessibilidade: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  </w:t>
      </w:r>
    </w:p>
    <w:p w:rsidR="005E5789" w:rsidRPr="005E5789" w:rsidRDefault="005E5789" w:rsidP="005E5789">
      <w:pPr>
        <w:ind w:left="1134" w:firstLine="708"/>
        <w:jc w:val="both"/>
        <w:rPr>
          <w:bCs/>
          <w:i/>
        </w:rPr>
      </w:pPr>
      <w:r w:rsidRPr="005E5789">
        <w:rPr>
          <w:bCs/>
          <w:i/>
        </w:rPr>
        <w:t xml:space="preserve">II - barreiras: qualquer entrave, obstáculo, atitude ou comportamento que limite ou impeça a participação social da pessoa, bem como o gozo, a fruição e o exercício de seus direitos à acessibilidade, à liberdade de movimento e de expressão, à comunicação, ao acesso à informação, à compreensão, à circulação com segurança, entre outros, classificadas em:  </w:t>
      </w:r>
    </w:p>
    <w:p w:rsidR="005E5789" w:rsidRPr="005E5789" w:rsidRDefault="005E5789" w:rsidP="005E5789">
      <w:pPr>
        <w:ind w:left="1134" w:firstLine="708"/>
        <w:jc w:val="both"/>
        <w:rPr>
          <w:bCs/>
          <w:i/>
        </w:rPr>
      </w:pPr>
      <w:r w:rsidRPr="005E5789">
        <w:rPr>
          <w:bCs/>
          <w:i/>
        </w:rPr>
        <w:t>(...)</w:t>
      </w:r>
    </w:p>
    <w:p w:rsidR="005E5789" w:rsidRPr="005E5789" w:rsidRDefault="005E5789" w:rsidP="005E5789">
      <w:pPr>
        <w:ind w:left="1134" w:firstLine="708"/>
        <w:jc w:val="both"/>
        <w:rPr>
          <w:bCs/>
          <w:i/>
        </w:rPr>
      </w:pPr>
      <w:r w:rsidRPr="005E5789">
        <w:rPr>
          <w:bCs/>
          <w:i/>
        </w:rPr>
        <w:t xml:space="preserve">b) barreiras arquitetônicas: as existentes nos edifícios públicos e privados; </w:t>
      </w:r>
    </w:p>
    <w:p w:rsidR="005E5789" w:rsidRPr="005E5789" w:rsidRDefault="005E5789" w:rsidP="005E5789">
      <w:pPr>
        <w:ind w:left="1134" w:firstLine="708"/>
        <w:jc w:val="both"/>
        <w:rPr>
          <w:bCs/>
          <w:i/>
        </w:rPr>
      </w:pPr>
      <w:r w:rsidRPr="005E5789">
        <w:rPr>
          <w:bCs/>
          <w:i/>
        </w:rPr>
        <w:t>Art. 11. A construção, ampliação ou reforma de edifícios públicos ou privados destinados ao uso coletivo deverão ser executadas de modo que sejam ou se tornem acessíveis às pessoas portadoras de deficiência ou com mobilidade reduzida.</w:t>
      </w:r>
    </w:p>
    <w:p w:rsidR="005E5789" w:rsidRPr="005E5789" w:rsidRDefault="005E5789" w:rsidP="005E5789">
      <w:pPr>
        <w:ind w:left="1134" w:firstLine="708"/>
        <w:jc w:val="both"/>
        <w:rPr>
          <w:bCs/>
          <w:i/>
        </w:rPr>
      </w:pPr>
      <w:r w:rsidRPr="005E5789">
        <w:rPr>
          <w:bCs/>
          <w:i/>
        </w:rPr>
        <w:t>Parágrafo único. Para os fins do disposto neste artigo, na construção, ampliação ou reforma de edifícios públicos ou privados destinados ao uso coletivo deverão ser observados, pelo menos, os seguintes requisitos de acessibilidade:</w:t>
      </w:r>
    </w:p>
    <w:p w:rsidR="005E5789" w:rsidRPr="005E5789" w:rsidRDefault="005E5789" w:rsidP="005E5789">
      <w:pPr>
        <w:ind w:left="1134" w:firstLine="708"/>
        <w:jc w:val="both"/>
        <w:rPr>
          <w:bCs/>
          <w:i/>
        </w:rPr>
      </w:pPr>
      <w:r w:rsidRPr="005E5789">
        <w:rPr>
          <w:bCs/>
          <w:i/>
        </w:rPr>
        <w:t>I – nas áreas externas ou internas da edificação, destinadas a garagem e a estacionamento de uso público, deverão ser reservadas vagas próximas dos acessos de circulação de pedestres, devidamente sinalizadas, para veículos que transportem pessoas portadoras de deficiência com dificuldade de locomoção permanente;</w:t>
      </w:r>
    </w:p>
    <w:p w:rsidR="005E5789" w:rsidRPr="005E5789" w:rsidRDefault="005E5789" w:rsidP="005E5789">
      <w:pPr>
        <w:ind w:left="1134" w:firstLine="708"/>
        <w:jc w:val="both"/>
        <w:rPr>
          <w:bCs/>
          <w:i/>
        </w:rPr>
      </w:pPr>
      <w:r w:rsidRPr="005E5789">
        <w:rPr>
          <w:bCs/>
          <w:i/>
        </w:rPr>
        <w:t>II – pelo menos um dos acessos ao interior da edificação deverá estar livre de barreiras arquitetônicas e de obstáculos que impeçam ou dificultem a acessibilidade de pessoa portadora de deficiência ou com mobilidade reduzida;</w:t>
      </w:r>
    </w:p>
    <w:p w:rsidR="005E5789" w:rsidRPr="005E5789" w:rsidRDefault="005E5789" w:rsidP="005E5789">
      <w:pPr>
        <w:ind w:left="1134" w:firstLine="708"/>
        <w:jc w:val="both"/>
        <w:rPr>
          <w:bCs/>
          <w:i/>
        </w:rPr>
      </w:pPr>
      <w:r w:rsidRPr="005E5789">
        <w:rPr>
          <w:bCs/>
          <w:i/>
        </w:rPr>
        <w:t>III – pelo menos um dos itinerários que comuniquem horizontal e verticalmente todas as dependências e serviços do edifício, entre si e com o exterior, deverá cumprir os requisitos de acessibilidade de que trata esta Lei; e</w:t>
      </w:r>
    </w:p>
    <w:p w:rsidR="005E5789" w:rsidRPr="005E5789" w:rsidRDefault="005E5789" w:rsidP="005E5789">
      <w:pPr>
        <w:ind w:left="1134" w:firstLine="708"/>
        <w:jc w:val="both"/>
        <w:rPr>
          <w:bCs/>
          <w:i/>
        </w:rPr>
      </w:pPr>
      <w:r w:rsidRPr="005E5789">
        <w:rPr>
          <w:bCs/>
          <w:i/>
        </w:rPr>
        <w:t>IV – os edifícios deverão dispor, pelo menos, de um banheiro acessível, distribuindo-se seus equipamentos e acessórios de maneira que possam ser utilizados por pessoa portadora de deficiência ou com mobilidade reduzida.</w:t>
      </w:r>
    </w:p>
    <w:p w:rsidR="005E5789" w:rsidRPr="005E5789" w:rsidRDefault="005E5789" w:rsidP="005E5789">
      <w:pPr>
        <w:ind w:left="1134" w:firstLine="708"/>
        <w:jc w:val="both"/>
        <w:rPr>
          <w:bCs/>
          <w:i/>
        </w:rPr>
      </w:pPr>
      <w:r w:rsidRPr="005E5789">
        <w:rPr>
          <w:bCs/>
          <w:i/>
        </w:rPr>
        <w:t xml:space="preserve">Art. 12. Os locais de espetáculos, conferências, aulas e outros de natureza similar deverão dispor de espaços reservados para pessoas que utilizam cadeira de rodas, e de lugares específicos para pessoas com </w:t>
      </w:r>
      <w:r w:rsidRPr="005E5789">
        <w:rPr>
          <w:bCs/>
          <w:i/>
        </w:rPr>
        <w:lastRenderedPageBreak/>
        <w:t>deficiência auditiva e visual, inclusive acompanhante, de acordo com a ABNT, de modo a facilitar-lhes as condições de acesso, circulação e comunicação.</w:t>
      </w:r>
    </w:p>
    <w:p w:rsidR="005E5789" w:rsidRPr="005E5789" w:rsidRDefault="005E5789" w:rsidP="005E5789">
      <w:pPr>
        <w:ind w:left="1134" w:firstLine="708"/>
        <w:jc w:val="both"/>
        <w:rPr>
          <w:bCs/>
          <w:i/>
        </w:rPr>
      </w:pPr>
      <w:r w:rsidRPr="005E5789">
        <w:rPr>
          <w:bCs/>
          <w:i/>
        </w:rPr>
        <w:t xml:space="preserve">Art. 12-A.  Os centros comerciais e os estabelecimentos congêneres devem fornecer carros e cadeiras de rodas, motorizados ou não, para o atendimento da pessoa com deficiência ou com mobilidade reduzida. </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 xml:space="preserve">Esta Lei e regulamentada pelo Decreto 5.296, de 2 de dezembro de 2004, que estabelece critérios básicos para a promoção de acessibilidade, assim dispondo: </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Art. 8 Para os fins de acessibilidade, considera-se:</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I - acessibilidade: condição para utilização, com segurança e autonomia, total ou assistida, dos espaços, mobiliários e equipamentos urbanos, das edificações, dos serviços de transporte e dos dispositivos, sistemas e meios de comunicação e informação, por pessoa portadora de deficiência ou com mobilidade reduzida;</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II - barreiras: qualquer entrave ou obstáculo que limite ou impeça o acesso, a liberdade de movimento, a circulação com segurança e a possibilidade de as pessoas se comunicarem ou terem acesso à informação, classificadas em:</w:t>
      </w:r>
    </w:p>
    <w:p w:rsidR="005E5789" w:rsidRPr="005E5789" w:rsidRDefault="005E5789" w:rsidP="005E5789">
      <w:pPr>
        <w:ind w:left="1134" w:firstLine="708"/>
        <w:jc w:val="both"/>
        <w:rPr>
          <w:bCs/>
          <w:i/>
        </w:rPr>
      </w:pPr>
      <w:r w:rsidRPr="005E5789">
        <w:rPr>
          <w:bCs/>
          <w:i/>
        </w:rPr>
        <w:tab/>
      </w:r>
      <w:r w:rsidRPr="005E5789">
        <w:rPr>
          <w:bCs/>
          <w:i/>
        </w:rPr>
        <w:tab/>
        <w:t>(...)</w:t>
      </w:r>
    </w:p>
    <w:p w:rsidR="005E5789" w:rsidRPr="005E5789" w:rsidRDefault="005E5789" w:rsidP="005E5789">
      <w:pPr>
        <w:ind w:left="1134" w:firstLine="708"/>
        <w:jc w:val="both"/>
        <w:rPr>
          <w:bCs/>
          <w:i/>
        </w:rPr>
      </w:pPr>
      <w:r w:rsidRPr="005E5789">
        <w:rPr>
          <w:bCs/>
          <w:i/>
        </w:rPr>
        <w:t>b) barreiras nas edificações: as existentes no entorno e interior das edificações de uso público e coletivo e no entorno e nas áreas internas de uso comum nas edificações de uso privado multifamiliar;</w:t>
      </w:r>
    </w:p>
    <w:p w:rsidR="005E5789" w:rsidRPr="005E5789" w:rsidRDefault="005E5789" w:rsidP="005E5789">
      <w:pPr>
        <w:ind w:left="1134" w:firstLine="708"/>
        <w:jc w:val="both"/>
        <w:rPr>
          <w:bCs/>
          <w:i/>
        </w:rPr>
      </w:pPr>
      <w:r w:rsidRPr="005E5789">
        <w:rPr>
          <w:bCs/>
          <w:i/>
        </w:rPr>
        <w:tab/>
      </w:r>
      <w:r w:rsidRPr="005E5789">
        <w:rPr>
          <w:bCs/>
          <w:i/>
        </w:rPr>
        <w:tab/>
        <w:t>(...)</w:t>
      </w:r>
    </w:p>
    <w:p w:rsidR="005E5789" w:rsidRPr="005E5789" w:rsidRDefault="005E5789" w:rsidP="005E5789">
      <w:pPr>
        <w:ind w:left="1134" w:firstLine="708"/>
        <w:jc w:val="both"/>
        <w:rPr>
          <w:bCs/>
          <w:i/>
        </w:rPr>
      </w:pPr>
      <w:r w:rsidRPr="005E5789">
        <w:rPr>
          <w:bCs/>
          <w:i/>
        </w:rPr>
        <w:t>VI - edificações de uso público: aquelas administradas por entidades da administração pública, direta e indireta, ou por empresas prestadoras de serviços públicos e destinadas ao público em geral;</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 xml:space="preserve">Nesse contexto, a Lei Orgânica Municipal estabelece a competência para o Município dispor sobre o Código de Edificações ou de Obras:  </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Art. 4º. Ao Município compete prover tudo que concerne ao seu peculiar interesse e ao bem estar de sua população, cabendo-lhe privativamente, dentre outras, as seguintes atribuições:</w:t>
      </w:r>
    </w:p>
    <w:p w:rsidR="005E5789" w:rsidRPr="005E5789" w:rsidRDefault="005E5789" w:rsidP="005E5789">
      <w:pPr>
        <w:ind w:left="1134" w:firstLine="708"/>
        <w:jc w:val="both"/>
        <w:rPr>
          <w:bCs/>
          <w:i/>
        </w:rPr>
      </w:pPr>
      <w:r w:rsidRPr="005E5789">
        <w:rPr>
          <w:bCs/>
          <w:i/>
        </w:rPr>
        <w:t>(...)</w:t>
      </w:r>
    </w:p>
    <w:p w:rsidR="005E5789" w:rsidRPr="005E5789" w:rsidRDefault="005E5789" w:rsidP="005E5789">
      <w:pPr>
        <w:ind w:left="1134" w:firstLine="708"/>
        <w:jc w:val="both"/>
        <w:rPr>
          <w:bCs/>
          <w:i/>
        </w:rPr>
      </w:pPr>
      <w:r w:rsidRPr="005E5789">
        <w:rPr>
          <w:bCs/>
          <w:i/>
        </w:rPr>
        <w:t>d) dispor sobre o Código de Edificações ou de Obras do Município, incluindo nele regulamentação das construções, reparações, demolições e quaisquer obras em geral;</w:t>
      </w:r>
    </w:p>
    <w:p w:rsidR="005E5789" w:rsidRPr="005E5789" w:rsidRDefault="005E5789" w:rsidP="005E5789">
      <w:pPr>
        <w:ind w:left="1134" w:firstLine="708"/>
        <w:jc w:val="both"/>
        <w:rPr>
          <w:bCs/>
          <w:i/>
        </w:rPr>
      </w:pPr>
      <w:r w:rsidRPr="005E5789">
        <w:rPr>
          <w:bCs/>
          <w:i/>
        </w:rPr>
        <w:t>(...)</w:t>
      </w:r>
    </w:p>
    <w:p w:rsidR="005E5789" w:rsidRPr="005E5789" w:rsidRDefault="005E5789" w:rsidP="005E5789">
      <w:pPr>
        <w:ind w:left="1134" w:firstLine="708"/>
        <w:jc w:val="both"/>
        <w:rPr>
          <w:bCs/>
          <w:i/>
        </w:rPr>
      </w:pPr>
      <w:r w:rsidRPr="005E5789">
        <w:rPr>
          <w:bCs/>
          <w:i/>
        </w:rPr>
        <w:t xml:space="preserve">Art. 73. São leis complementares: </w:t>
      </w:r>
    </w:p>
    <w:p w:rsidR="005E5789" w:rsidRPr="005E5789" w:rsidRDefault="005E5789" w:rsidP="005E5789">
      <w:pPr>
        <w:ind w:left="1134" w:firstLine="708"/>
        <w:jc w:val="both"/>
        <w:rPr>
          <w:bCs/>
          <w:i/>
        </w:rPr>
      </w:pPr>
      <w:r w:rsidRPr="005E5789">
        <w:rPr>
          <w:bCs/>
          <w:i/>
        </w:rPr>
        <w:t>I – código de obras;</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ab/>
        <w:t xml:space="preserve">A Lei Complementar 3.210, de 27 de novembro de 1995, que institui o Código de Obras do Município dispõe em diversos dispositivos acerca da acessibilidade nas edificações, dos quais destacam-se: </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 xml:space="preserve">Art. 152 As edificações não residenciais, com obrigatoriedade de acessibilidade à portadores de deficiência física, devem atender a norma </w:t>
      </w:r>
      <w:r w:rsidRPr="005E5789">
        <w:rPr>
          <w:bCs/>
          <w:i/>
        </w:rPr>
        <w:lastRenderedPageBreak/>
        <w:t>NBR - 9050/85, quanto à sanitários, bebedouros, interruptores, tomadas, elevadores, telefones e estacionamentos.</w:t>
      </w:r>
    </w:p>
    <w:p w:rsidR="005E5789" w:rsidRPr="005E5789" w:rsidRDefault="005E5789" w:rsidP="005E5789">
      <w:pPr>
        <w:ind w:left="1134" w:firstLine="708"/>
        <w:jc w:val="both"/>
        <w:rPr>
          <w:bCs/>
          <w:i/>
        </w:rPr>
      </w:pPr>
    </w:p>
    <w:p w:rsidR="005E5789" w:rsidRPr="005E5789" w:rsidRDefault="005E5789" w:rsidP="005E5789">
      <w:pPr>
        <w:ind w:left="1134" w:firstLine="708"/>
        <w:jc w:val="both"/>
        <w:rPr>
          <w:bCs/>
          <w:i/>
        </w:rPr>
      </w:pPr>
      <w:r w:rsidRPr="005E5789">
        <w:rPr>
          <w:bCs/>
          <w:i/>
        </w:rPr>
        <w:t>Art. 160 As edificações destinadas a escolas municipais e particulares, além das disposições do presente código que lhes forem aplicáveis, devem:</w:t>
      </w:r>
    </w:p>
    <w:p w:rsidR="005E5789" w:rsidRPr="005E5789" w:rsidRDefault="005E5789" w:rsidP="005E5789">
      <w:pPr>
        <w:ind w:left="1134" w:firstLine="708"/>
        <w:jc w:val="both"/>
        <w:rPr>
          <w:bCs/>
          <w:i/>
        </w:rPr>
      </w:pPr>
      <w:r w:rsidRPr="005E5789">
        <w:rPr>
          <w:bCs/>
          <w:i/>
        </w:rPr>
        <w:t>I - ter instalações sanitárias obedecendo às seguintes proporções:</w:t>
      </w:r>
    </w:p>
    <w:p w:rsidR="005E5789" w:rsidRPr="005E5789" w:rsidRDefault="005E5789" w:rsidP="005E5789">
      <w:pPr>
        <w:ind w:left="1134" w:firstLine="708"/>
        <w:jc w:val="both"/>
        <w:rPr>
          <w:bCs/>
          <w:i/>
        </w:rPr>
      </w:pPr>
      <w:r w:rsidRPr="005E5789">
        <w:rPr>
          <w:bCs/>
          <w:i/>
        </w:rPr>
        <w:tab/>
      </w:r>
      <w:r w:rsidRPr="005E5789">
        <w:rPr>
          <w:bCs/>
          <w:i/>
        </w:rPr>
        <w:tab/>
        <w:t>(...)</w:t>
      </w:r>
    </w:p>
    <w:p w:rsidR="005E5789" w:rsidRPr="005E5789" w:rsidRDefault="005E5789" w:rsidP="005E5789">
      <w:pPr>
        <w:ind w:left="1134" w:firstLine="708"/>
        <w:jc w:val="both"/>
        <w:rPr>
          <w:bCs/>
          <w:i/>
        </w:rPr>
      </w:pPr>
      <w:r w:rsidRPr="005E5789">
        <w:rPr>
          <w:bCs/>
          <w:i/>
        </w:rPr>
        <w:t>II - garantir fácil acesso para portadores de deficiência física às dependências de uso coletivo, administração e à 2% (dois por cento) das salas de aula e sanitário.</w:t>
      </w:r>
    </w:p>
    <w:p w:rsidR="005E5789" w:rsidRPr="005E5789" w:rsidRDefault="005E5789" w:rsidP="005E5789">
      <w:pPr>
        <w:ind w:left="1134" w:firstLine="708"/>
        <w:jc w:val="both"/>
        <w:rPr>
          <w:bCs/>
          <w:i/>
        </w:rPr>
      </w:pPr>
      <w:r w:rsidRPr="005E5789">
        <w:rPr>
          <w:bCs/>
          <w:i/>
        </w:rPr>
        <w:tab/>
      </w:r>
    </w:p>
    <w:p w:rsidR="005E5789" w:rsidRPr="005E5789" w:rsidRDefault="005E5789" w:rsidP="005E5789">
      <w:pPr>
        <w:ind w:left="1134" w:firstLine="708"/>
        <w:jc w:val="both"/>
        <w:rPr>
          <w:bCs/>
          <w:i/>
        </w:rPr>
      </w:pPr>
      <w:r w:rsidRPr="005E5789">
        <w:rPr>
          <w:bCs/>
          <w:i/>
        </w:rPr>
        <w:t xml:space="preserve">Tendo em vista as Leis acima transcritas, não há dúvidas de que se trata de matéria de competência local. </w:t>
      </w:r>
    </w:p>
    <w:p w:rsidR="005E5789" w:rsidRPr="005E5789" w:rsidRDefault="005E5789" w:rsidP="005E5789">
      <w:pPr>
        <w:ind w:left="1134" w:firstLine="708"/>
        <w:jc w:val="both"/>
        <w:rPr>
          <w:bCs/>
          <w:i/>
        </w:rPr>
      </w:pPr>
      <w:r w:rsidRPr="005E5789">
        <w:rPr>
          <w:bCs/>
          <w:i/>
        </w:rPr>
        <w:t xml:space="preserve">Correta também a espécie legislativa adotada, ou seja, a alteração pretendida se dará por meio da Lei Complementar. </w:t>
      </w:r>
    </w:p>
    <w:p w:rsidR="005E5789" w:rsidRPr="005E5789" w:rsidRDefault="005E5789" w:rsidP="005E5789">
      <w:pPr>
        <w:ind w:left="1134" w:firstLine="708"/>
        <w:jc w:val="both"/>
        <w:rPr>
          <w:bCs/>
          <w:i/>
        </w:rPr>
      </w:pPr>
      <w:r w:rsidRPr="005E5789">
        <w:rPr>
          <w:bCs/>
          <w:i/>
        </w:rPr>
        <w:t xml:space="preserve">Quando ao conteúdo verifica-se que o texto projetado na proposição se traduz numa adaptação da legislação federal, reprisando, inclusive, muitos dispositivos desta. </w:t>
      </w:r>
    </w:p>
    <w:p w:rsidR="005E5789" w:rsidRPr="005E5789" w:rsidRDefault="005E5789" w:rsidP="005E5789">
      <w:pPr>
        <w:ind w:left="1134" w:firstLine="708"/>
        <w:jc w:val="both"/>
        <w:rPr>
          <w:bCs/>
          <w:i/>
        </w:rPr>
      </w:pPr>
      <w:r w:rsidRPr="005E5789">
        <w:rPr>
          <w:bCs/>
          <w:i/>
        </w:rPr>
        <w:t xml:space="preserve">A redação estabelece o âmbito de aplicação da norma, a necessidade de cumprimento da legislação federal e das normas da Associação Brasileira de Normas Técnicas – ABNT, bem como as sanções para os casos de descumprimento e a possibilidade de regulamentação da Lei pelo Poder Executivo, tendo em seu conteúdo abordado as questões pertinentes a matéria. Ressalta-se que para a execução da divulgação prevista no texto projetado, o Poder Executivo precisa observar a existência de dotação orçamentária própria. </w:t>
      </w:r>
    </w:p>
    <w:p w:rsidR="005E5789" w:rsidRPr="005E5789" w:rsidRDefault="005E5789" w:rsidP="005E5789">
      <w:pPr>
        <w:ind w:left="1134" w:firstLine="708"/>
        <w:jc w:val="both"/>
        <w:rPr>
          <w:bCs/>
          <w:i/>
        </w:rPr>
      </w:pPr>
      <w:r w:rsidRPr="005E5789">
        <w:rPr>
          <w:bCs/>
          <w:i/>
        </w:rPr>
        <w:t xml:space="preserve">Quanto a técnica legislativa sugere-se que seja realizada a correção para fazer constar Código de Obras e não Código de Posturas, tendo em vista que a Lei 3.210 de 27 de dezembro de 1995 se refere aquela lei. </w:t>
      </w:r>
    </w:p>
    <w:p w:rsidR="005E5789" w:rsidRDefault="005E5789" w:rsidP="00574D39">
      <w:pPr>
        <w:ind w:left="1134" w:firstLine="708"/>
        <w:jc w:val="both"/>
        <w:rPr>
          <w:bCs/>
          <w:i/>
        </w:rPr>
      </w:pPr>
      <w:r w:rsidRPr="005E5789">
        <w:rPr>
          <w:bCs/>
          <w:i/>
        </w:rPr>
        <w:t>Pelo exposto, opina-se pela viabilidade técnica do Projeto de Lei, observada</w:t>
      </w:r>
      <w:r>
        <w:rPr>
          <w:bCs/>
          <w:i/>
        </w:rPr>
        <w:t xml:space="preserve"> as orientações acima expostas.</w:t>
      </w:r>
    </w:p>
    <w:p w:rsidR="00574D39" w:rsidRDefault="00574D39" w:rsidP="00574D39">
      <w:pPr>
        <w:ind w:left="1134" w:firstLine="708"/>
        <w:jc w:val="both"/>
        <w:rPr>
          <w:bCs/>
          <w:i/>
        </w:rPr>
      </w:pPr>
    </w:p>
    <w:p w:rsidR="00AD6F69" w:rsidRDefault="00B235C2" w:rsidP="007A2A59">
      <w:pPr>
        <w:ind w:firstLine="708"/>
        <w:jc w:val="both"/>
        <w:rPr>
          <w:bCs/>
        </w:rPr>
      </w:pPr>
      <w:r w:rsidRPr="005132FF">
        <w:rPr>
          <w:bCs/>
        </w:rPr>
        <w:t xml:space="preserve">Não houve apresentação de emendas por parte dos Vereadores. </w:t>
      </w:r>
    </w:p>
    <w:p w:rsidR="00EA39EB" w:rsidRPr="005132FF" w:rsidRDefault="00EA39EB" w:rsidP="007A2A59">
      <w:pPr>
        <w:ind w:firstLine="708"/>
        <w:jc w:val="both"/>
        <w:rPr>
          <w:bCs/>
        </w:rPr>
      </w:pPr>
    </w:p>
    <w:p w:rsidR="00EA39EB" w:rsidRDefault="00AD6F69" w:rsidP="00C929B5">
      <w:pPr>
        <w:jc w:val="center"/>
        <w:rPr>
          <w:b/>
          <w:bCs/>
        </w:rPr>
      </w:pPr>
      <w:r>
        <w:rPr>
          <w:b/>
          <w:bCs/>
        </w:rPr>
        <w:t>Análise:</w:t>
      </w:r>
    </w:p>
    <w:p w:rsidR="00C47D83"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1C0FD5">
        <w:t>.</w:t>
      </w:r>
      <w:r w:rsidR="007524FD">
        <w:t xml:space="preserve"> </w:t>
      </w:r>
      <w:r w:rsidR="005E5789">
        <w:t>A correção quanto a técnica legislativa</w:t>
      </w:r>
      <w:r w:rsidR="006A4A39">
        <w:t xml:space="preserve"> citada</w:t>
      </w:r>
      <w:r w:rsidR="005E5789">
        <w:t xml:space="preserve"> na Orientação Técnica poderá ser </w:t>
      </w:r>
      <w:r w:rsidR="008E30B4">
        <w:t>realizada</w:t>
      </w:r>
      <w:r w:rsidR="005E5789">
        <w:t xml:space="preserve"> por esta Casa Legislativa, pois não revela-se supressiva ou modificativa, mas destina-se tão somente a alinhar o texto da proposição municipal </w:t>
      </w:r>
      <w:r w:rsidR="005E5789" w:rsidRPr="005E5789">
        <w:t>à</w:t>
      </w:r>
      <w:r w:rsidR="005E5789">
        <w:t xml:space="preserve"> normativa de elaboração das leis. </w:t>
      </w:r>
    </w:p>
    <w:p w:rsidR="00EA39EB" w:rsidRDefault="00EA39EB" w:rsidP="007A2A59">
      <w:pPr>
        <w:ind w:firstLine="708"/>
        <w:jc w:val="both"/>
      </w:pPr>
    </w:p>
    <w:p w:rsidR="005E5789" w:rsidRDefault="00447978" w:rsidP="005E5789">
      <w:pPr>
        <w:jc w:val="center"/>
        <w:rPr>
          <w:b/>
        </w:rPr>
      </w:pPr>
      <w:r>
        <w:rPr>
          <w:b/>
        </w:rPr>
        <w:t>Conclusão do Voto:</w:t>
      </w:r>
    </w:p>
    <w:p w:rsidR="00C2022B" w:rsidRPr="008B1AE8" w:rsidRDefault="00AD6F69" w:rsidP="00AD6F69">
      <w:pPr>
        <w:jc w:val="both"/>
      </w:pPr>
      <w:r>
        <w:rPr>
          <w:b/>
        </w:rPr>
        <w:tab/>
      </w:r>
      <w:r w:rsidRPr="007450B1">
        <w:t>Diant</w:t>
      </w:r>
      <w:r w:rsidR="00484795">
        <w:t>e dos fundam</w:t>
      </w:r>
      <w:r w:rsidR="00EA39EB">
        <w:t>entos expostos, est</w:t>
      </w:r>
      <w:r w:rsidR="005E5789">
        <w:t>e</w:t>
      </w:r>
      <w:r w:rsidRPr="007450B1">
        <w:t xml:space="preserve"> Relator disponibiliza o presente Voto Favorável à proposição. </w:t>
      </w:r>
      <w:bookmarkStart w:id="0" w:name="_GoBack"/>
      <w:bookmarkEnd w:id="0"/>
    </w:p>
    <w:p w:rsidR="00C929B5" w:rsidRDefault="00AD6F69" w:rsidP="00C929B5">
      <w:r>
        <w:rPr>
          <w:b/>
        </w:rPr>
        <w:tab/>
      </w:r>
      <w:r w:rsidR="00755094">
        <w:t>Sala das Co</w:t>
      </w:r>
      <w:r w:rsidR="00AB328F">
        <w:t xml:space="preserve">missões, em </w:t>
      </w:r>
      <w:r w:rsidR="005E5789">
        <w:t>25</w:t>
      </w:r>
      <w:r w:rsidR="00966B03">
        <w:t xml:space="preserve"> </w:t>
      </w:r>
      <w:r w:rsidR="005A62F2">
        <w:t>de fevereiro</w:t>
      </w:r>
      <w:r w:rsidR="00051BBE">
        <w:t xml:space="preserve"> de 201</w:t>
      </w:r>
      <w:r w:rsidR="005A62F2">
        <w:t>6</w:t>
      </w:r>
    </w:p>
    <w:p w:rsidR="00574D39" w:rsidRDefault="00574D39" w:rsidP="00C929B5"/>
    <w:p w:rsidR="005E5789" w:rsidRDefault="00C929B5" w:rsidP="005E5789">
      <w:r>
        <w:t xml:space="preserve">      </w:t>
      </w:r>
      <w:r w:rsidR="00EA39EB">
        <w:t>______</w:t>
      </w:r>
      <w:r>
        <w:t>____________________________</w:t>
      </w:r>
    </w:p>
    <w:p w:rsidR="00F0251F" w:rsidRDefault="005E5789" w:rsidP="00574D39">
      <w:pPr>
        <w:ind w:firstLine="708"/>
      </w:pPr>
      <w:r>
        <w:t>IDO RHODEN – RELATOR</w:t>
      </w:r>
    </w:p>
    <w:p w:rsidR="007A2A59" w:rsidRPr="007A2A59" w:rsidRDefault="00AB328F" w:rsidP="007A2A59">
      <w:pPr>
        <w:rPr>
          <w:b/>
        </w:rPr>
      </w:pPr>
      <w:r w:rsidRPr="00387FA5">
        <w:rPr>
          <w:b/>
        </w:rPr>
        <w:t>Pelas Conclusões:</w:t>
      </w: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sectPr w:rsidR="007A2A59"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9D" w:rsidRDefault="00375D9D" w:rsidP="00052047">
      <w:r>
        <w:separator/>
      </w:r>
    </w:p>
  </w:endnote>
  <w:endnote w:type="continuationSeparator" w:id="0">
    <w:p w:rsidR="00375D9D" w:rsidRDefault="00375D9D"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9D" w:rsidRDefault="00375D9D" w:rsidP="00052047">
      <w:r>
        <w:separator/>
      </w:r>
    </w:p>
  </w:footnote>
  <w:footnote w:type="continuationSeparator" w:id="0">
    <w:p w:rsidR="00375D9D" w:rsidRDefault="00375D9D"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B60F0"/>
    <w:rsid w:val="000D207D"/>
    <w:rsid w:val="000D64F9"/>
    <w:rsid w:val="000E2419"/>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5D9D"/>
    <w:rsid w:val="003760E4"/>
    <w:rsid w:val="00376C54"/>
    <w:rsid w:val="003924B5"/>
    <w:rsid w:val="003C337D"/>
    <w:rsid w:val="003D00EB"/>
    <w:rsid w:val="003D63AD"/>
    <w:rsid w:val="003E45BA"/>
    <w:rsid w:val="003E58A8"/>
    <w:rsid w:val="00405930"/>
    <w:rsid w:val="004116A1"/>
    <w:rsid w:val="00445DC2"/>
    <w:rsid w:val="00447978"/>
    <w:rsid w:val="00452F82"/>
    <w:rsid w:val="00454545"/>
    <w:rsid w:val="00461440"/>
    <w:rsid w:val="00462F38"/>
    <w:rsid w:val="00477CF6"/>
    <w:rsid w:val="00482BE3"/>
    <w:rsid w:val="00484795"/>
    <w:rsid w:val="00484E4F"/>
    <w:rsid w:val="004A2736"/>
    <w:rsid w:val="004B3EE7"/>
    <w:rsid w:val="004B4E24"/>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74D39"/>
    <w:rsid w:val="005A3D97"/>
    <w:rsid w:val="005A62F2"/>
    <w:rsid w:val="005B01F0"/>
    <w:rsid w:val="005E284D"/>
    <w:rsid w:val="005E5789"/>
    <w:rsid w:val="005F0D9B"/>
    <w:rsid w:val="00640CB7"/>
    <w:rsid w:val="00644E2A"/>
    <w:rsid w:val="00673624"/>
    <w:rsid w:val="006740E3"/>
    <w:rsid w:val="006748DA"/>
    <w:rsid w:val="006921BD"/>
    <w:rsid w:val="006A4A39"/>
    <w:rsid w:val="006B1E42"/>
    <w:rsid w:val="006B4144"/>
    <w:rsid w:val="006B7F3D"/>
    <w:rsid w:val="006C07DD"/>
    <w:rsid w:val="006C1436"/>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66272"/>
    <w:rsid w:val="00871AE9"/>
    <w:rsid w:val="00880227"/>
    <w:rsid w:val="00880381"/>
    <w:rsid w:val="008805A1"/>
    <w:rsid w:val="008946E6"/>
    <w:rsid w:val="008961AE"/>
    <w:rsid w:val="00897259"/>
    <w:rsid w:val="0089771C"/>
    <w:rsid w:val="008A6D3E"/>
    <w:rsid w:val="008B1AE8"/>
    <w:rsid w:val="008D1242"/>
    <w:rsid w:val="008E30B4"/>
    <w:rsid w:val="008E5B08"/>
    <w:rsid w:val="008E7AF1"/>
    <w:rsid w:val="008F1135"/>
    <w:rsid w:val="008F1146"/>
    <w:rsid w:val="008F27E3"/>
    <w:rsid w:val="008F3E80"/>
    <w:rsid w:val="008F64BA"/>
    <w:rsid w:val="00905885"/>
    <w:rsid w:val="00906204"/>
    <w:rsid w:val="00912357"/>
    <w:rsid w:val="00914DB5"/>
    <w:rsid w:val="009330FE"/>
    <w:rsid w:val="00937518"/>
    <w:rsid w:val="00947611"/>
    <w:rsid w:val="0095314E"/>
    <w:rsid w:val="00957B11"/>
    <w:rsid w:val="00966B03"/>
    <w:rsid w:val="00982DE9"/>
    <w:rsid w:val="00987B83"/>
    <w:rsid w:val="009C60C3"/>
    <w:rsid w:val="009C7CA3"/>
    <w:rsid w:val="009F72F3"/>
    <w:rsid w:val="00A139AE"/>
    <w:rsid w:val="00A22338"/>
    <w:rsid w:val="00A2497B"/>
    <w:rsid w:val="00A41A99"/>
    <w:rsid w:val="00A43A37"/>
    <w:rsid w:val="00A55211"/>
    <w:rsid w:val="00A60278"/>
    <w:rsid w:val="00A71D28"/>
    <w:rsid w:val="00A7302D"/>
    <w:rsid w:val="00A773AD"/>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B3AB0"/>
    <w:rsid w:val="00BD123B"/>
    <w:rsid w:val="00BE4F2B"/>
    <w:rsid w:val="00C05768"/>
    <w:rsid w:val="00C15D86"/>
    <w:rsid w:val="00C2022B"/>
    <w:rsid w:val="00C34097"/>
    <w:rsid w:val="00C47479"/>
    <w:rsid w:val="00C47D83"/>
    <w:rsid w:val="00C511BB"/>
    <w:rsid w:val="00C55899"/>
    <w:rsid w:val="00C74A3F"/>
    <w:rsid w:val="00C74F14"/>
    <w:rsid w:val="00C76B15"/>
    <w:rsid w:val="00C929B5"/>
    <w:rsid w:val="00CA38B1"/>
    <w:rsid w:val="00CB7E87"/>
    <w:rsid w:val="00CD1B2A"/>
    <w:rsid w:val="00CD6044"/>
    <w:rsid w:val="00CE4461"/>
    <w:rsid w:val="00CE7DA3"/>
    <w:rsid w:val="00D015A7"/>
    <w:rsid w:val="00D05BFA"/>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DA2"/>
    <w:rsid w:val="00E52FE9"/>
    <w:rsid w:val="00E709D9"/>
    <w:rsid w:val="00E8114F"/>
    <w:rsid w:val="00E8157C"/>
    <w:rsid w:val="00E877A6"/>
    <w:rsid w:val="00E921AA"/>
    <w:rsid w:val="00EA39EB"/>
    <w:rsid w:val="00ED213A"/>
    <w:rsid w:val="00ED5DD9"/>
    <w:rsid w:val="00EE26F0"/>
    <w:rsid w:val="00EE2EFB"/>
    <w:rsid w:val="00EF3B2C"/>
    <w:rsid w:val="00F0251F"/>
    <w:rsid w:val="00F124CB"/>
    <w:rsid w:val="00F1446D"/>
    <w:rsid w:val="00F15A30"/>
    <w:rsid w:val="00F304CF"/>
    <w:rsid w:val="00F32ECD"/>
    <w:rsid w:val="00F3565A"/>
    <w:rsid w:val="00F6666E"/>
    <w:rsid w:val="00F667C3"/>
    <w:rsid w:val="00F677AA"/>
    <w:rsid w:val="00F76A68"/>
    <w:rsid w:val="00F76F93"/>
    <w:rsid w:val="00FA58D0"/>
    <w:rsid w:val="00FA676B"/>
    <w:rsid w:val="00FB137A"/>
    <w:rsid w:val="00FB65E8"/>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1563</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2016-02-29T17:51:00Z</cp:lastPrinted>
  <dcterms:created xsi:type="dcterms:W3CDTF">2016-02-26T18:37:00Z</dcterms:created>
  <dcterms:modified xsi:type="dcterms:W3CDTF">2016-03-09T17:15:00Z</dcterms:modified>
</cp:coreProperties>
</file>