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-295275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>nto ao Processo de Contas do Municípi</w:t>
      </w:r>
      <w:r w:rsidR="004C2998">
        <w:rPr>
          <w:bCs/>
        </w:rPr>
        <w:t xml:space="preserve">o referente ao exercício </w:t>
      </w:r>
      <w:r w:rsidR="000E748A">
        <w:rPr>
          <w:bCs/>
        </w:rPr>
        <w:t>de 2011</w:t>
      </w:r>
      <w:r w:rsidR="003D24B1">
        <w:rPr>
          <w:bCs/>
        </w:rPr>
        <w:t xml:space="preserve">. </w:t>
      </w:r>
    </w:p>
    <w:p w:rsidR="00A1436D" w:rsidRDefault="00A1436D" w:rsidP="00A1436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O Tribunal de Contas do Rio Grande do Sul (TCE/RS) remeteu a esta Casa Legislativa o Proce</w:t>
      </w:r>
      <w:r w:rsidR="000E748A">
        <w:rPr>
          <w:bCs/>
        </w:rPr>
        <w:t xml:space="preserve">sso de Contas nº </w:t>
      </w:r>
      <w:r w:rsidR="00014339">
        <w:rPr>
          <w:bCs/>
        </w:rPr>
        <w:t>000685-0200/11-2, relativo ao exercício de 2011</w:t>
      </w:r>
      <w:r>
        <w:rPr>
          <w:bCs/>
        </w:rPr>
        <w:t xml:space="preserve">, sendo que o parecer emitido </w:t>
      </w:r>
      <w:r w:rsidR="007431E8">
        <w:rPr>
          <w:bCs/>
        </w:rPr>
        <w:t xml:space="preserve">neste </w:t>
      </w:r>
      <w:r>
        <w:rPr>
          <w:bCs/>
        </w:rPr>
        <w:t>foi li</w:t>
      </w:r>
      <w:r w:rsidR="00014339">
        <w:rPr>
          <w:bCs/>
        </w:rPr>
        <w:t>do na sessão ordinária do dia 15</w:t>
      </w:r>
      <w:r>
        <w:rPr>
          <w:bCs/>
        </w:rPr>
        <w:t>/02/2016, oportunizando, dessa forma, a discussão prévia do mesmo</w:t>
      </w:r>
      <w:r w:rsidR="007431E8">
        <w:rPr>
          <w:bCs/>
        </w:rPr>
        <w:t xml:space="preserve"> aos Vereadores presentes na ocasião. </w:t>
      </w:r>
    </w:p>
    <w:p w:rsidR="004C2998" w:rsidRDefault="00A1436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Conforme consta no</w:t>
      </w:r>
      <w:r w:rsidR="007431E8">
        <w:rPr>
          <w:bCs/>
        </w:rPr>
        <w:t>s</w:t>
      </w:r>
      <w:r w:rsidR="006C2D25">
        <w:rPr>
          <w:bCs/>
        </w:rPr>
        <w:t xml:space="preserve"> autos do referido processo, a Primeira</w:t>
      </w:r>
      <w:r>
        <w:rPr>
          <w:bCs/>
        </w:rPr>
        <w:t xml:space="preserve"> </w:t>
      </w:r>
      <w:r w:rsidR="004C2998">
        <w:rPr>
          <w:bCs/>
        </w:rPr>
        <w:t>Câmara</w:t>
      </w:r>
      <w:r>
        <w:rPr>
          <w:bCs/>
        </w:rPr>
        <w:t xml:space="preserve"> do TCE/RS</w:t>
      </w:r>
      <w:r w:rsidR="004C2998">
        <w:rPr>
          <w:bCs/>
        </w:rPr>
        <w:t>, à unanimidade, acolhendo o Voto do Conselheiro-Relator</w:t>
      </w:r>
      <w:r w:rsidR="006C2D25">
        <w:rPr>
          <w:bCs/>
        </w:rPr>
        <w:t xml:space="preserve"> Marco Peixoto</w:t>
      </w:r>
      <w:r w:rsidR="004C2998">
        <w:rPr>
          <w:bCs/>
        </w:rPr>
        <w:t>,</w:t>
      </w:r>
      <w:r w:rsidR="00175CFB">
        <w:rPr>
          <w:bCs/>
        </w:rPr>
        <w:t xml:space="preserve"> por seus jurídicos </w:t>
      </w:r>
      <w:r w:rsidR="00F93DE8">
        <w:rPr>
          <w:bCs/>
        </w:rPr>
        <w:t>fundamentos, assim</w:t>
      </w:r>
      <w:r w:rsidR="004C2998">
        <w:rPr>
          <w:bCs/>
        </w:rPr>
        <w:t xml:space="preserve"> decidiu a respeito</w:t>
      </w:r>
      <w:r w:rsidR="00815B02">
        <w:rPr>
          <w:bCs/>
        </w:rPr>
        <w:t xml:space="preserve"> das contas do exercício de 2011</w:t>
      </w:r>
      <w:bookmarkStart w:id="0" w:name="_GoBack"/>
      <w:bookmarkEnd w:id="0"/>
      <w:r w:rsidR="00175CFB">
        <w:rPr>
          <w:bCs/>
        </w:rPr>
        <w:t>:</w:t>
      </w:r>
    </w:p>
    <w:p w:rsidR="006D01B5" w:rsidRDefault="006D01B5" w:rsidP="006D2484">
      <w:pPr>
        <w:pStyle w:val="Recuodecorpodetexto"/>
        <w:ind w:left="-142" w:firstLine="850"/>
        <w:jc w:val="both"/>
        <w:rPr>
          <w:bCs/>
        </w:rPr>
      </w:pPr>
    </w:p>
    <w:p w:rsidR="006C2D25" w:rsidRDefault="006C2D25" w:rsidP="004267F0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pela fixação de débito, no valor total de R$ 321.283,10 (trezentos e vinte e um mil, duzentos e oitenta e três reais e dez centavos), relativamente aos itens n. 3.1 (convênio firmado com o Três Passos Atlético Clube – TAC com o objetivo precípuo de dar continuidade ao programa Municipal de Responsabilidade Social denominado “Esporte para Todos”; 3.2 (contratação desnecessária da empresa IPEC – Instituto Projetos em Gestão de Captação de Recursos Ltda para captação de recursos); 3.3 (concessão de empréstimo, em 2009, </w:t>
      </w:r>
      <w:r w:rsidR="00741B77">
        <w:rPr>
          <w:bCs/>
        </w:rPr>
        <w:t>a</w:t>
      </w:r>
      <w:r>
        <w:rPr>
          <w:bCs/>
        </w:rPr>
        <w:t xml:space="preserve"> Comunidade Evangélica de Três Passos</w:t>
      </w:r>
      <w:r w:rsidR="00741B77">
        <w:rPr>
          <w:bCs/>
        </w:rPr>
        <w:t>, no valor de R$ 9.500,00, com sucessivas prorrogações de prazo para pagamento autorizadas mediante lei, sem que entidade devedora se dispusesse a efetuar a devolução do empréstimo e sem que a Administração Municipal evidasse esforços no sentido de recebê-lo</w:t>
      </w:r>
      <w:r>
        <w:rPr>
          <w:bCs/>
        </w:rPr>
        <w:t>; 3.7</w:t>
      </w:r>
      <w:r w:rsidR="00741B77">
        <w:rPr>
          <w:bCs/>
        </w:rPr>
        <w:t xml:space="preserve"> (pagamento a RBS TV da importância de R$ 6.500,00 a título de “Patrocínio Revellion 11/12” sem autorização legislativa específica e finalidade pública”</w:t>
      </w:r>
      <w:r>
        <w:rPr>
          <w:bCs/>
        </w:rPr>
        <w:t>; 4.3</w:t>
      </w:r>
      <w:r w:rsidR="00741B77">
        <w:rPr>
          <w:bCs/>
        </w:rPr>
        <w:t xml:space="preserve"> (Recolhimento a menor do Imposto de Transmissão Intervivos de Bens Imóveis relativamente </w:t>
      </w:r>
      <w:r w:rsidR="00B06561">
        <w:rPr>
          <w:bCs/>
        </w:rPr>
        <w:t>a à</w:t>
      </w:r>
      <w:r w:rsidR="00741B77">
        <w:rPr>
          <w:bCs/>
        </w:rPr>
        <w:t xml:space="preserve"> Guia </w:t>
      </w:r>
      <w:r w:rsidR="00432584">
        <w:rPr>
          <w:bCs/>
        </w:rPr>
        <w:t xml:space="preserve">Informativa nº 445/2011, por problemas de avaliação da Fazenda Municipal; </w:t>
      </w:r>
      <w:r>
        <w:rPr>
          <w:bCs/>
        </w:rPr>
        <w:t>4.6.1</w:t>
      </w:r>
      <w:r w:rsidR="00432584">
        <w:rPr>
          <w:bCs/>
        </w:rPr>
        <w:t xml:space="preserve"> (aceitação de acordo amigável com o Serviço Notarial pelo valor de R$ 53.866,58, inferior ao estimado de R$ 155.000,00, sem informações para respaldar a decisão ou manifestação da Fiscalização Tributária sobre o valor ofertado</w:t>
      </w:r>
      <w:r>
        <w:rPr>
          <w:bCs/>
        </w:rPr>
        <w:t>;4.6.2</w:t>
      </w:r>
      <w:r w:rsidR="00432584">
        <w:rPr>
          <w:bCs/>
        </w:rPr>
        <w:t xml:space="preserve"> (Aceitação de acordo amigável com o Serviço Registral no valor de R$ 100.000,00 inferior ao estimado de 210.000,00, sem informações para respaldar a decisão ou manifestação da Fiscalização Tributária sobre o valor ofertado)</w:t>
      </w:r>
      <w:r>
        <w:rPr>
          <w:bCs/>
        </w:rPr>
        <w:t>; e 9.1.1</w:t>
      </w:r>
      <w:r w:rsidR="00432584">
        <w:rPr>
          <w:bCs/>
        </w:rPr>
        <w:t xml:space="preserve"> (concessão indevida de aumento no contrato de prestação de serviços de coleta seletiva de resíduos sólidos urbanos com posterior transporte até a central de triagem do Consórcio Intermunicipal de Tratamento Sólidos Urbanos – CITRESU, decorrente da Tomada de Preços nº 011/2008, em virtude de a empresa ter posto à disposição para a coleta terceiro veículo</w:t>
      </w:r>
      <w:r>
        <w:rPr>
          <w:bCs/>
        </w:rPr>
        <w:t>, ao Senhor Cleri Camilotti;</w:t>
      </w:r>
    </w:p>
    <w:p w:rsidR="00DC4238" w:rsidRDefault="00DC4238" w:rsidP="00DC4238">
      <w:pPr>
        <w:pStyle w:val="Recuodecorpodetexto"/>
        <w:ind w:left="1068" w:firstLine="0"/>
        <w:jc w:val="both"/>
        <w:rPr>
          <w:bCs/>
        </w:rPr>
      </w:pPr>
    </w:p>
    <w:p w:rsidR="00DC4238" w:rsidRDefault="00DC4238" w:rsidP="006461C6">
      <w:pPr>
        <w:pStyle w:val="Recuodecorpodetexto"/>
        <w:numPr>
          <w:ilvl w:val="0"/>
          <w:numId w:val="3"/>
        </w:numPr>
        <w:ind w:left="1134" w:firstLine="0"/>
        <w:jc w:val="both"/>
        <w:rPr>
          <w:bCs/>
        </w:rPr>
      </w:pPr>
      <w:r w:rsidRPr="006461C6">
        <w:rPr>
          <w:bCs/>
        </w:rPr>
        <w:t>p</w:t>
      </w:r>
      <w:r w:rsidR="00175CFB" w:rsidRPr="006461C6">
        <w:rPr>
          <w:bCs/>
        </w:rPr>
        <w:t xml:space="preserve">ela imposição de multa no valor de R$ 1.500,00 (um mil e quinhentos reais), ao </w:t>
      </w:r>
      <w:r w:rsidR="004C2998" w:rsidRPr="006461C6">
        <w:rPr>
          <w:bCs/>
        </w:rPr>
        <w:t xml:space="preserve">Senhor Cleri Camilotti, </w:t>
      </w:r>
      <w:r w:rsidR="00432584" w:rsidRPr="006461C6">
        <w:rPr>
          <w:bCs/>
        </w:rPr>
        <w:t>nos termos dos a</w:t>
      </w:r>
      <w:r w:rsidR="006461C6" w:rsidRPr="006461C6">
        <w:rPr>
          <w:bCs/>
        </w:rPr>
        <w:t xml:space="preserve">rtigos 67 da Lei Estadual n. 11.424/2000 e 132 do Regimento Interno desse Tribunal de Contas – RITCE, por inobservância das normas constitucionais e legais reguladoras da gestão administrativa, conforme destacado no Relatório e Voto do Conselheiro </w:t>
      </w:r>
      <w:r w:rsidR="006461C6">
        <w:rPr>
          <w:bCs/>
        </w:rPr>
        <w:t>Relator;</w:t>
      </w:r>
    </w:p>
    <w:p w:rsidR="006461C6" w:rsidRPr="006461C6" w:rsidRDefault="006461C6" w:rsidP="006461C6">
      <w:pPr>
        <w:pStyle w:val="Recuodecorpodetexto"/>
        <w:ind w:left="1134" w:firstLine="0"/>
        <w:jc w:val="both"/>
        <w:rPr>
          <w:bCs/>
        </w:rPr>
      </w:pPr>
    </w:p>
    <w:p w:rsidR="00BA2630" w:rsidRDefault="00DC4238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lastRenderedPageBreak/>
        <w:t>p</w:t>
      </w:r>
      <w:r w:rsidR="006461C6">
        <w:rPr>
          <w:bCs/>
        </w:rPr>
        <w:t>elo não atendimento à Lei de Responsabilidade Fiscal, no tocante às Contas de Gestão Fiscal do Poder Executivo Municipal de Tr</w:t>
      </w:r>
      <w:r w:rsidR="00BA2630">
        <w:rPr>
          <w:bCs/>
        </w:rPr>
        <w:t>ês Passos, no exercício de 2011, de responsabilidade do Senhor Cleri Camilotti.</w:t>
      </w:r>
    </w:p>
    <w:p w:rsidR="00BA2630" w:rsidRDefault="00BA2630" w:rsidP="00BA2630">
      <w:pPr>
        <w:pStyle w:val="PargrafodaLista"/>
        <w:rPr>
          <w:bCs/>
        </w:rPr>
      </w:pPr>
    </w:p>
    <w:p w:rsidR="00BA2630" w:rsidRDefault="00BA2630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pela remessa dos autos à Supervisão de Instrução de Contas Municipais – SICM para que proceda à atualização do débito fixado na letra “a” da decisão, elaborando o correspondente demonstrativo, juntamente com o da penalidade pecuniária imposta na alínea “b” da mesma, nos termos dispostos na Resolução TC n. 897/2010;</w:t>
      </w:r>
    </w:p>
    <w:p w:rsidR="00BA2630" w:rsidRDefault="00BA2630" w:rsidP="00BA2630">
      <w:pPr>
        <w:pStyle w:val="PargrafodaLista"/>
        <w:rPr>
          <w:bCs/>
        </w:rPr>
      </w:pPr>
    </w:p>
    <w:p w:rsidR="00BA2630" w:rsidRDefault="00BA2630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pela intimação do Responsável </w:t>
      </w:r>
      <w:r w:rsidR="00640098">
        <w:rPr>
          <w:bCs/>
        </w:rPr>
        <w:t>para que, no prazo de 30 (trinta) dias, promova o recolhimento dos valores de que tratam as alíneas “a” e “b” deste decisório aos Cofres do Município e do Estado, respectivamente, apresentado as devidas comprovações perante este Tribunal de Contas;</w:t>
      </w:r>
    </w:p>
    <w:p w:rsidR="00640098" w:rsidRDefault="00640098" w:rsidP="00640098">
      <w:pPr>
        <w:pStyle w:val="PargrafodaLista"/>
        <w:rPr>
          <w:bCs/>
        </w:rPr>
      </w:pPr>
    </w:p>
    <w:p w:rsidR="00640098" w:rsidRDefault="00640098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pela emissão das Certidões de Decisões – Títulos Executivos, caso não cumprida a presente decisão e após o seu trânsito em julgado;</w:t>
      </w:r>
    </w:p>
    <w:p w:rsidR="00640098" w:rsidRDefault="00640098" w:rsidP="00640098">
      <w:pPr>
        <w:pStyle w:val="PargrafodaLista"/>
        <w:rPr>
          <w:bCs/>
        </w:rPr>
      </w:pPr>
    </w:p>
    <w:p w:rsidR="00640098" w:rsidRDefault="00640098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pela recomendação ao atual Gestor para que evite a ocorrência de inconformidades destacadas no Relatório e Voto do Conselheiro-</w:t>
      </w:r>
      <w:r w:rsidR="00B06561">
        <w:rPr>
          <w:bCs/>
        </w:rPr>
        <w:t>Relator e</w:t>
      </w:r>
      <w:r>
        <w:rPr>
          <w:bCs/>
        </w:rPr>
        <w:t xml:space="preserve"> adote providências corretivas em relação àquelas passíveis de regularização, a serem verificadas em futura auditoria; </w:t>
      </w:r>
    </w:p>
    <w:p w:rsidR="00640098" w:rsidRDefault="00640098" w:rsidP="00640098">
      <w:pPr>
        <w:pStyle w:val="PargrafodaLista"/>
        <w:rPr>
          <w:bCs/>
        </w:rPr>
      </w:pPr>
    </w:p>
    <w:p w:rsidR="00640098" w:rsidRDefault="00640098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pela emissão de Parecer sob o n. 17.093, Desfavorável à aprovação das contas do Senhor Cleri Camilotti (p.p. Advogada Anielle Cavalli, OAB/RS n. 57.817, e outros) Administrador do Executivo Municipal de Três Passos, no exercício de 2011, nos termos do que dispõe o artigo 3º da Resolução TC n414/1992;</w:t>
      </w:r>
    </w:p>
    <w:p w:rsidR="00640098" w:rsidRDefault="00640098" w:rsidP="00640098">
      <w:pPr>
        <w:pStyle w:val="PargrafodaLista"/>
        <w:rPr>
          <w:bCs/>
        </w:rPr>
      </w:pPr>
    </w:p>
    <w:p w:rsidR="00640098" w:rsidRDefault="00640098" w:rsidP="006461C6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pela emissão de Parecer sob o n. 17.093, Favorável à aprovação das contas do Senhor Tarcísio Kuhn, Administrador do Executivo Municipal de Três Passos, no exercício de 2011, nos termos do que </w:t>
      </w:r>
      <w:r w:rsidR="00137BE1">
        <w:rPr>
          <w:bCs/>
        </w:rPr>
        <w:t>dispõe o artigo 5º da Resolução TC n. 414/1992;</w:t>
      </w:r>
    </w:p>
    <w:p w:rsidR="00137BE1" w:rsidRDefault="00137BE1" w:rsidP="00137BE1">
      <w:pPr>
        <w:pStyle w:val="PargrafodaLista"/>
        <w:rPr>
          <w:bCs/>
        </w:rPr>
      </w:pPr>
    </w:p>
    <w:p w:rsidR="00137BE1" w:rsidRPr="00137BE1" w:rsidRDefault="00137BE1" w:rsidP="00137BE1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pela ciência à Procuradoria-Geral de Justiça e ao Ministério Público Eleitoral, conforme preceitua o artigo 87 do Regimento Interno desta Corte. </w:t>
      </w:r>
    </w:p>
    <w:p w:rsidR="00DC4238" w:rsidRDefault="00DC4238" w:rsidP="00DC4238">
      <w:pPr>
        <w:pStyle w:val="Recuodecorpodetexto"/>
        <w:ind w:left="0" w:firstLine="0"/>
        <w:jc w:val="both"/>
        <w:rPr>
          <w:bCs/>
        </w:rPr>
      </w:pPr>
    </w:p>
    <w:p w:rsidR="00137BE1" w:rsidRDefault="00137BE1" w:rsidP="00BF7D28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p</w:t>
      </w:r>
      <w:r w:rsidR="00BF7D28">
        <w:rPr>
          <w:bCs/>
        </w:rPr>
        <w:t>ela</w:t>
      </w:r>
      <w:r>
        <w:rPr>
          <w:bCs/>
        </w:rPr>
        <w:t xml:space="preserve"> ciência da presente decisão aos Senhores Cleri Camilotti e Tarcísio Kuhn;</w:t>
      </w:r>
    </w:p>
    <w:p w:rsidR="00137BE1" w:rsidRDefault="00137BE1" w:rsidP="00137BE1">
      <w:pPr>
        <w:pStyle w:val="PargrafodaLista"/>
        <w:rPr>
          <w:bCs/>
        </w:rPr>
      </w:pPr>
    </w:p>
    <w:p w:rsidR="00137BE1" w:rsidRDefault="00137BE1" w:rsidP="00BF7D28">
      <w:pPr>
        <w:pStyle w:val="Recuodecorpodetexto"/>
        <w:numPr>
          <w:ilvl w:val="0"/>
          <w:numId w:val="3"/>
        </w:numPr>
        <w:jc w:val="both"/>
        <w:rPr>
          <w:bCs/>
        </w:rPr>
      </w:pPr>
      <w:r>
        <w:rPr>
          <w:bCs/>
        </w:rPr>
        <w:t>após o trânsito em julgado da presente decisão, cumpridos os procedimentos reguladores, seja o processo encaminhado ao Legislativo Municipal de Três Passos com o devido parecer de que tratam as letras “h” e “i” desta decisão, para o exercício de suas competências constitucionais e legais.</w:t>
      </w:r>
    </w:p>
    <w:p w:rsidR="00137BE1" w:rsidRDefault="00137BE1" w:rsidP="00137BE1">
      <w:pPr>
        <w:pStyle w:val="PargrafodaLista"/>
        <w:rPr>
          <w:bCs/>
        </w:rPr>
      </w:pPr>
    </w:p>
    <w:p w:rsidR="004C6908" w:rsidRPr="004C6908" w:rsidRDefault="004C6908" w:rsidP="005F283A">
      <w:pPr>
        <w:pStyle w:val="Recuodecorpodetexto"/>
        <w:ind w:left="0" w:firstLine="708"/>
        <w:jc w:val="both"/>
        <w:rPr>
          <w:bCs/>
        </w:rPr>
      </w:pPr>
      <w:r w:rsidRPr="004C6908">
        <w:rPr>
          <w:bCs/>
        </w:rPr>
        <w:t>Diante disso, o Senhor Cleri Camilotti</w:t>
      </w:r>
      <w:r>
        <w:rPr>
          <w:bCs/>
        </w:rPr>
        <w:t xml:space="preserve"> opôs Recuso de Embargos contra a decisã</w:t>
      </w:r>
      <w:r w:rsidR="005F283A">
        <w:rPr>
          <w:bCs/>
        </w:rPr>
        <w:t>o acima</w:t>
      </w:r>
      <w:r w:rsidR="00137BE1">
        <w:rPr>
          <w:bCs/>
        </w:rPr>
        <w:t>, sendo que</w:t>
      </w:r>
      <w:r w:rsidR="00584FD8">
        <w:rPr>
          <w:bCs/>
        </w:rPr>
        <w:t xml:space="preserve"> R</w:t>
      </w:r>
      <w:r w:rsidR="005F283A">
        <w:rPr>
          <w:bCs/>
        </w:rPr>
        <w:t>elator</w:t>
      </w:r>
      <w:r w:rsidR="00137BE1">
        <w:rPr>
          <w:bCs/>
        </w:rPr>
        <w:t xml:space="preserve"> do mesmo o</w:t>
      </w:r>
      <w:r w:rsidR="00F93DE8">
        <w:rPr>
          <w:bCs/>
        </w:rPr>
        <w:t xml:space="preserve"> </w:t>
      </w:r>
      <w:r w:rsidR="00137BE1">
        <w:rPr>
          <w:bCs/>
        </w:rPr>
        <w:t xml:space="preserve">Conselheiro Algir </w:t>
      </w:r>
      <w:r w:rsidR="00B06561">
        <w:rPr>
          <w:bCs/>
        </w:rPr>
        <w:t>Lorezon que</w:t>
      </w:r>
      <w:r w:rsidR="00137BE1">
        <w:rPr>
          <w:bCs/>
        </w:rPr>
        <w:t xml:space="preserve"> </w:t>
      </w:r>
      <w:r w:rsidR="00584FD8">
        <w:rPr>
          <w:bCs/>
        </w:rPr>
        <w:t xml:space="preserve">votou pelo conhecimento do recurso, e, no mérito pelo seu provimento parcial, a fim de </w:t>
      </w:r>
      <w:r w:rsidR="005F283A">
        <w:rPr>
          <w:bCs/>
        </w:rPr>
        <w:t>afast</w:t>
      </w:r>
      <w:r w:rsidR="00137BE1">
        <w:rPr>
          <w:bCs/>
        </w:rPr>
        <w:t xml:space="preserve">ar o débito expresso no item 3.2, 3.3, 4.6.1 e 4.6.2, bem como reverter </w:t>
      </w:r>
      <w:r w:rsidR="00C57140">
        <w:rPr>
          <w:bCs/>
        </w:rPr>
        <w:t xml:space="preserve">a parte desfavorável do Parecer nº 17.093 para parecer sob o n. 17.958, Favorável à aprovação das contas, </w:t>
      </w:r>
      <w:r w:rsidR="005F283A">
        <w:rPr>
          <w:bCs/>
        </w:rPr>
        <w:t xml:space="preserve">mantendo inalterados os demais temos da decisão recorrida. </w:t>
      </w:r>
    </w:p>
    <w:p w:rsidR="005F283A" w:rsidRDefault="005D686B" w:rsidP="00EC7B6E">
      <w:pPr>
        <w:pStyle w:val="Recuodecorpodetexto"/>
        <w:ind w:left="0" w:firstLine="708"/>
        <w:jc w:val="both"/>
        <w:rPr>
          <w:bCs/>
        </w:rPr>
      </w:pPr>
      <w:r w:rsidRPr="005D686B">
        <w:rPr>
          <w:bCs/>
        </w:rPr>
        <w:t xml:space="preserve">O Tribunal Pleno, por sua vez, por unanimidade, acolheu </w:t>
      </w:r>
      <w:r w:rsidR="00C57140">
        <w:rPr>
          <w:bCs/>
        </w:rPr>
        <w:t>o voto do Conselheiro</w:t>
      </w:r>
      <w:r w:rsidRPr="005D686B">
        <w:rPr>
          <w:bCs/>
        </w:rPr>
        <w:t xml:space="preserve"> Relator acima exposto</w:t>
      </w:r>
      <w:r w:rsidR="00EC7B6E">
        <w:rPr>
          <w:bCs/>
        </w:rPr>
        <w:t xml:space="preserve">. </w:t>
      </w:r>
    </w:p>
    <w:p w:rsidR="007431E8" w:rsidRDefault="007431E8" w:rsidP="007431E8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 e, em sequência, compete </w:t>
      </w:r>
      <w:r w:rsidR="00C57140">
        <w:rPr>
          <w:bCs/>
        </w:rPr>
        <w:t>à</w:t>
      </w:r>
      <w:r>
        <w:rPr>
          <w:bCs/>
        </w:rPr>
        <w:t xml:space="preserve"> </w:t>
      </w:r>
      <w:r w:rsidRPr="005729C1">
        <w:rPr>
          <w:bCs/>
        </w:rPr>
        <w:t>Comissão de Orçamento, Finan</w:t>
      </w:r>
      <w:r>
        <w:rPr>
          <w:bCs/>
        </w:rPr>
        <w:t>ças e Infra-Estrutura Urbana e R</w:t>
      </w:r>
      <w:r w:rsidRPr="005729C1">
        <w:rPr>
          <w:bCs/>
        </w:rPr>
        <w:t>ural</w:t>
      </w:r>
      <w:r>
        <w:rPr>
          <w:bCs/>
        </w:rPr>
        <w:t xml:space="preserve"> analisar o Processo de Contas do Município, bem como elaborar o seu parecer opinativo que será votado pelo plenário desta Casa Legislativa, conforme determina o art. 166 da Constituição Federal, bem como de acordo com o art. 47, II, “a”, 6 do Regimento Interno desta Casa Legislativa.</w:t>
      </w:r>
    </w:p>
    <w:p w:rsidR="007431E8" w:rsidRDefault="007431E8" w:rsidP="007431E8">
      <w:pPr>
        <w:pStyle w:val="Recuodecorpodetexto"/>
        <w:ind w:left="0" w:firstLine="708"/>
        <w:jc w:val="both"/>
        <w:rPr>
          <w:bCs/>
        </w:rPr>
      </w:pPr>
    </w:p>
    <w:p w:rsidR="00F850BB" w:rsidRDefault="00781723" w:rsidP="006D2484">
      <w:pPr>
        <w:jc w:val="both"/>
        <w:rPr>
          <w:bCs/>
        </w:rPr>
      </w:pPr>
      <w:r>
        <w:rPr>
          <w:bCs/>
        </w:rPr>
        <w:lastRenderedPageBreak/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que o julgamento das contas do prefeito, pela Câmara Municipal, com auxílio do Tribunal de Contas, é uma questão de extrema relevância, em 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 xml:space="preserve">erno do Poder Executivo Municipal, já o § 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>Recebida as contas prestadas pelo Prefeito, acompanhadas do Parecer Prévio em análise, este foi publicado no mural desta Casa legislativa, bem como foi divulgado no site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permanecerá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9E7323">
        <w:rPr>
          <w:bCs/>
        </w:rPr>
        <w:t xml:space="preserve">. Portanto, forma adotadas todas as medidas conforme determina o art. 172 do Regimento Interno desta Casa Legislativa. </w:t>
      </w:r>
    </w:p>
    <w:p w:rsidR="00CB6F1F" w:rsidRDefault="00EC7B6E" w:rsidP="006D2484">
      <w:pPr>
        <w:jc w:val="both"/>
        <w:rPr>
          <w:bCs/>
        </w:rPr>
      </w:pPr>
      <w:r>
        <w:rPr>
          <w:bCs/>
        </w:rPr>
        <w:tab/>
        <w:t>Em segui</w:t>
      </w:r>
      <w:r w:rsidR="009E7323">
        <w:rPr>
          <w:bCs/>
        </w:rPr>
        <w:t xml:space="preserve">da </w:t>
      </w:r>
      <w:r w:rsidR="00C57140">
        <w:rPr>
          <w:bCs/>
        </w:rPr>
        <w:t>à</w:t>
      </w:r>
      <w:r w:rsidR="009E7323">
        <w:rPr>
          <w:bCs/>
        </w:rPr>
        <w:t xml:space="preserve"> </w:t>
      </w:r>
      <w:r w:rsidR="009E7323" w:rsidRPr="009E7323">
        <w:rPr>
          <w:bCs/>
        </w:rPr>
        <w:t>Comissão de Orçamento, Finanças Infra-Es</w:t>
      </w:r>
      <w:r w:rsidR="003E1310">
        <w:rPr>
          <w:bCs/>
        </w:rPr>
        <w:t>trutura Urbana e Rural</w:t>
      </w:r>
      <w:r w:rsidR="009E7323">
        <w:rPr>
          <w:bCs/>
        </w:rPr>
        <w:t>, notificou o Senhor Cleri Camilotti</w:t>
      </w:r>
      <w:r w:rsidR="009E7323" w:rsidRPr="009E7323">
        <w:rPr>
          <w:bCs/>
        </w:rPr>
        <w:t xml:space="preserve"> do recebimento do parecer prévio na Câmara Municipal para, querendo, no prazo de quinze dias apresentar defesa às conclusões contidas no referido parecer, apresentando as provas que julgar necessária</w:t>
      </w:r>
      <w:r w:rsidR="003E1310">
        <w:rPr>
          <w:bCs/>
        </w:rPr>
        <w:t xml:space="preserve">, atendendo ao disposto no art. 173 do Regimento Interno.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O Sr. Cleri Camilotti, respondeu a notificação afirmando que não possui interesse em apresentar provas uma vez que o parecer prévio do Tribunal de Contas foi favorável.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Diante disso, verifica-se que todos os procedimentos legais foram adotados conforme determina o Regimento Interno desta Casa Legislativa, Constituição Estadual e Federal.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defesa e o prazo para 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Apresentado o voto do Vereador – Relator, seu conteúdo é deliberado na Comissão de Orçamento e Finanças,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O Sr. Cleri Camilotti também deverá ser notificado para apresentação de defesa oral se assim desejar de acordo com o que dete</w:t>
      </w:r>
      <w:r w:rsidR="00F93DE8">
        <w:rPr>
          <w:bCs/>
        </w:rPr>
        <w:t>rmina 175 do Regimento Interno desta Casa Legislativa.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6D2484" w:rsidRPr="007431E8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finalização do respectivo processo, naquela Corte, e realização dos respectivos encaminhamentos, como é o caso, por exemplo, do envio da lista de gestores públicos com contas rejeitadas à Justiça Eleitoral, para fins de inegibilidade, nos termos da Lei Complementar nº 135, de 2010. </w:t>
      </w:r>
    </w:p>
    <w:p w:rsidR="006D2484" w:rsidRPr="005729C1" w:rsidRDefault="00EE0053" w:rsidP="006D2484">
      <w:pPr>
        <w:ind w:firstLine="708"/>
      </w:pPr>
      <w:r>
        <w:t>Três Passos, 05 de maio</w:t>
      </w:r>
      <w:r w:rsidR="00F93DE8">
        <w:t xml:space="preserve"> de 2016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sectPr w:rsidR="006D2484" w:rsidRPr="005729C1" w:rsidSect="003E3194">
      <w:pgSz w:w="11906" w:h="16838" w:code="9"/>
      <w:pgMar w:top="1134" w:right="1133" w:bottom="624" w:left="1276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6A519A"/>
    <w:multiLevelType w:val="hybridMultilevel"/>
    <w:tmpl w:val="531A7D6E"/>
    <w:lvl w:ilvl="0" w:tplc="1B68AF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14339"/>
    <w:rsid w:val="000E72E9"/>
    <w:rsid w:val="000E748A"/>
    <w:rsid w:val="00137BE1"/>
    <w:rsid w:val="00175CFB"/>
    <w:rsid w:val="00185B7F"/>
    <w:rsid w:val="0020397D"/>
    <w:rsid w:val="00257C1D"/>
    <w:rsid w:val="002A2C42"/>
    <w:rsid w:val="002B264A"/>
    <w:rsid w:val="002F44A4"/>
    <w:rsid w:val="00396579"/>
    <w:rsid w:val="003C608C"/>
    <w:rsid w:val="003D24B1"/>
    <w:rsid w:val="003E1310"/>
    <w:rsid w:val="003E3194"/>
    <w:rsid w:val="003F13FE"/>
    <w:rsid w:val="00432584"/>
    <w:rsid w:val="004C2998"/>
    <w:rsid w:val="004C6908"/>
    <w:rsid w:val="005677BE"/>
    <w:rsid w:val="00584FD8"/>
    <w:rsid w:val="005D686B"/>
    <w:rsid w:val="005F045A"/>
    <w:rsid w:val="005F283A"/>
    <w:rsid w:val="00640098"/>
    <w:rsid w:val="006461C6"/>
    <w:rsid w:val="006C2D25"/>
    <w:rsid w:val="006D01B5"/>
    <w:rsid w:val="006D2484"/>
    <w:rsid w:val="00741B77"/>
    <w:rsid w:val="007431E8"/>
    <w:rsid w:val="00757B19"/>
    <w:rsid w:val="00781723"/>
    <w:rsid w:val="008142A6"/>
    <w:rsid w:val="00815B02"/>
    <w:rsid w:val="00840C57"/>
    <w:rsid w:val="0085488C"/>
    <w:rsid w:val="00890B1B"/>
    <w:rsid w:val="00977BDC"/>
    <w:rsid w:val="00985154"/>
    <w:rsid w:val="009E7323"/>
    <w:rsid w:val="00A1436D"/>
    <w:rsid w:val="00A42373"/>
    <w:rsid w:val="00A45CFF"/>
    <w:rsid w:val="00AD5D2E"/>
    <w:rsid w:val="00AF0641"/>
    <w:rsid w:val="00B06561"/>
    <w:rsid w:val="00BA2630"/>
    <w:rsid w:val="00BB7A50"/>
    <w:rsid w:val="00BD247D"/>
    <w:rsid w:val="00BF7D28"/>
    <w:rsid w:val="00C57140"/>
    <w:rsid w:val="00C77A97"/>
    <w:rsid w:val="00CB6F1F"/>
    <w:rsid w:val="00CD7088"/>
    <w:rsid w:val="00D05FF6"/>
    <w:rsid w:val="00D24FFA"/>
    <w:rsid w:val="00D40D98"/>
    <w:rsid w:val="00D52B43"/>
    <w:rsid w:val="00DB2487"/>
    <w:rsid w:val="00DC4238"/>
    <w:rsid w:val="00E120D0"/>
    <w:rsid w:val="00EA10D6"/>
    <w:rsid w:val="00EC7B6E"/>
    <w:rsid w:val="00EE0053"/>
    <w:rsid w:val="00EE0BF5"/>
    <w:rsid w:val="00F141A7"/>
    <w:rsid w:val="00F17049"/>
    <w:rsid w:val="00F32197"/>
    <w:rsid w:val="00F850BB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D3AD9-3A79-45BB-A242-8345A80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80FFD-C6B7-4B98-AD06-FB06A659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2016-05-05T19:11:00Z</cp:lastPrinted>
  <dcterms:created xsi:type="dcterms:W3CDTF">2016-05-05T17:31:00Z</dcterms:created>
  <dcterms:modified xsi:type="dcterms:W3CDTF">2016-05-05T21:09:00Z</dcterms:modified>
</cp:coreProperties>
</file>