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E4411E">
        <w:t xml:space="preserve"> nº 63</w:t>
      </w:r>
      <w:r w:rsidR="007A2A59">
        <w:t>/2016</w:t>
      </w:r>
      <w:r w:rsidR="00F1446D">
        <w:tab/>
      </w:r>
      <w:r w:rsidR="00F1446D">
        <w:tab/>
      </w:r>
      <w:r w:rsidR="00F1446D">
        <w:tab/>
      </w:r>
      <w:r w:rsidR="00F1446D">
        <w:tab/>
      </w:r>
      <w:r w:rsidRPr="007450B1">
        <w:rPr>
          <w:b/>
        </w:rPr>
        <w:t>Data:</w:t>
      </w:r>
      <w:r w:rsidR="003924B5">
        <w:t xml:space="preserve"> </w:t>
      </w:r>
      <w:r w:rsidR="00E4411E">
        <w:t>02 de junho</w:t>
      </w:r>
      <w:r w:rsidR="00770495">
        <w:t xml:space="preserve"> </w:t>
      </w:r>
      <w:r w:rsidR="007A2A59">
        <w:t>de 2016</w:t>
      </w:r>
    </w:p>
    <w:p w:rsidR="00AD6F69" w:rsidRDefault="000D2543" w:rsidP="00F1446D">
      <w:pPr>
        <w:pStyle w:val="Recuodecorpodetexto"/>
        <w:ind w:left="3238" w:hanging="3238"/>
      </w:pPr>
      <w:r>
        <w:rPr>
          <w:b/>
        </w:rPr>
        <w:t xml:space="preserve">Matéria: </w:t>
      </w:r>
      <w:r w:rsidRPr="000D2543">
        <w:t>Projeto de Lei Legislativa</w:t>
      </w:r>
      <w:r w:rsidR="00F1446D" w:rsidRPr="00004A55">
        <w:tab/>
      </w:r>
      <w:r w:rsidR="00004A55">
        <w:tab/>
      </w:r>
      <w:r w:rsidR="00004A55">
        <w:tab/>
      </w:r>
      <w:r w:rsidR="00AD6F69" w:rsidRPr="007450B1">
        <w:rPr>
          <w:b/>
        </w:rPr>
        <w:t>Autor:</w:t>
      </w:r>
      <w:r>
        <w:t xml:space="preserve"> Poder Legislativo</w:t>
      </w:r>
      <w:r w:rsidR="00AD6F69">
        <w:tab/>
      </w:r>
    </w:p>
    <w:p w:rsidR="00AD6F69" w:rsidRPr="002513A5" w:rsidRDefault="00AD6F69" w:rsidP="00F1446D">
      <w:pPr>
        <w:pStyle w:val="Recuodecorpodetexto"/>
        <w:ind w:left="3238" w:hanging="3238"/>
      </w:pPr>
      <w:r w:rsidRPr="007450B1">
        <w:rPr>
          <w:b/>
        </w:rPr>
        <w:t>Relator:</w:t>
      </w:r>
      <w:r w:rsidR="00A65E15">
        <w:t xml:space="preserve"> Ido Rhoden</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1C0FD5">
        <w:rPr>
          <w:b/>
          <w:bCs/>
        </w:rPr>
        <w:t xml:space="preserve"> </w:t>
      </w:r>
      <w:r w:rsidR="000D2543">
        <w:rPr>
          <w:b/>
          <w:bCs/>
        </w:rPr>
        <w:t xml:space="preserve">Legislativa </w:t>
      </w:r>
      <w:r w:rsidR="00AD6F69" w:rsidRPr="007450B1">
        <w:rPr>
          <w:b/>
          <w:bCs/>
        </w:rPr>
        <w:t>nº:</w:t>
      </w:r>
      <w:r w:rsidR="00A773AD">
        <w:rPr>
          <w:bCs/>
        </w:rPr>
        <w:t xml:space="preserve"> </w:t>
      </w:r>
      <w:r w:rsidR="00E4411E">
        <w:rPr>
          <w:bCs/>
        </w:rPr>
        <w:t>08</w:t>
      </w:r>
      <w:r w:rsidR="007A2A59">
        <w:rPr>
          <w:bCs/>
        </w:rPr>
        <w:t>/16</w:t>
      </w:r>
    </w:p>
    <w:p w:rsidR="00AD6F69" w:rsidRDefault="00AD6F69" w:rsidP="00AD6F69">
      <w:pPr>
        <w:pStyle w:val="Recuodecorpodetexto"/>
        <w:ind w:left="3060" w:hanging="3240"/>
        <w:jc w:val="both"/>
        <w:rPr>
          <w:bCs/>
        </w:rPr>
      </w:pPr>
    </w:p>
    <w:p w:rsidR="001416C6" w:rsidRDefault="00E4411E" w:rsidP="00E4411E">
      <w:pPr>
        <w:pStyle w:val="Recuodecorpodetexto"/>
        <w:ind w:left="3060" w:firstLine="0"/>
        <w:jc w:val="both"/>
        <w:rPr>
          <w:bCs/>
        </w:rPr>
      </w:pPr>
      <w:r w:rsidRPr="00E4411E">
        <w:rPr>
          <w:bCs/>
        </w:rPr>
        <w:t xml:space="preserve">Dispõe sobre a obrigatoriedade de instalação de câmeras e circuito interno de filmagem e televisão em todos os acessos destinados ao público, nas agências e postos de serviços bancários. </w:t>
      </w:r>
    </w:p>
    <w:p w:rsidR="00E4411E" w:rsidRDefault="00E4411E" w:rsidP="00E4411E">
      <w:pPr>
        <w:pStyle w:val="Recuodecorpodetexto"/>
        <w:ind w:left="3060" w:firstLine="0"/>
        <w:jc w:val="both"/>
        <w:rPr>
          <w:bCs/>
        </w:rPr>
      </w:pP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r w:rsidR="000D2543" w:rsidRPr="002324FA">
        <w:t>supracitado</w:t>
      </w:r>
      <w:r w:rsidRPr="002324FA">
        <w:t>, conforme segue:</w:t>
      </w:r>
    </w:p>
    <w:p w:rsidR="003C337D" w:rsidRPr="003C337D" w:rsidRDefault="003C337D" w:rsidP="003C337D">
      <w:pPr>
        <w:jc w:val="both"/>
      </w:pPr>
    </w:p>
    <w:p w:rsidR="004F6099" w:rsidRDefault="00AD6F69" w:rsidP="007A2A59">
      <w:pPr>
        <w:jc w:val="center"/>
        <w:rPr>
          <w:b/>
          <w:bCs/>
        </w:rPr>
      </w:pPr>
      <w:r>
        <w:rPr>
          <w:b/>
          <w:bCs/>
        </w:rPr>
        <w:t>Relatório:</w:t>
      </w:r>
    </w:p>
    <w:p w:rsidR="00FE3ACD" w:rsidRDefault="00FE3ACD" w:rsidP="007A2A59">
      <w:pPr>
        <w:jc w:val="center"/>
        <w:rPr>
          <w:b/>
          <w:bCs/>
        </w:rPr>
      </w:pPr>
    </w:p>
    <w:p w:rsidR="00DD3694" w:rsidRDefault="00052047" w:rsidP="00DD3694">
      <w:pPr>
        <w:ind w:firstLine="708"/>
        <w:jc w:val="both"/>
        <w:rPr>
          <w:bCs/>
        </w:rPr>
      </w:pPr>
      <w:r>
        <w:rPr>
          <w:bCs/>
        </w:rPr>
        <w:t xml:space="preserve">O Projeto de Lei </w:t>
      </w:r>
      <w:r w:rsidR="00DD3694">
        <w:rPr>
          <w:bCs/>
        </w:rPr>
        <w:t>em análise, de Origem do Poder Executivo, foi li</w:t>
      </w:r>
      <w:r w:rsidR="00947611">
        <w:rPr>
          <w:bCs/>
        </w:rPr>
        <w:t xml:space="preserve">do na sessão ordinária </w:t>
      </w:r>
      <w:r w:rsidR="00E4411E">
        <w:rPr>
          <w:bCs/>
        </w:rPr>
        <w:t>do dia 06/06</w:t>
      </w:r>
      <w:r w:rsidR="007A2A59">
        <w:rPr>
          <w:bCs/>
        </w:rPr>
        <w:t>/2016</w:t>
      </w:r>
      <w:r w:rsidR="000D64F9">
        <w:rPr>
          <w:bCs/>
        </w:rPr>
        <w:t>.</w:t>
      </w:r>
    </w:p>
    <w:p w:rsidR="00880227" w:rsidRDefault="00880227" w:rsidP="00DD3694">
      <w:pPr>
        <w:ind w:firstLine="708"/>
        <w:jc w:val="both"/>
        <w:rPr>
          <w:bCs/>
        </w:rPr>
      </w:pPr>
      <w:r>
        <w:rPr>
          <w:bCs/>
        </w:rPr>
        <w:t xml:space="preserve">Solicitou-se orientação jurídica a qual transcreve-se a seguir: </w:t>
      </w:r>
    </w:p>
    <w:p w:rsidR="009F72F3" w:rsidRPr="009F72F3" w:rsidRDefault="009F72F3" w:rsidP="007A2A59">
      <w:pPr>
        <w:jc w:val="both"/>
        <w:rPr>
          <w:bCs/>
          <w:i/>
        </w:rPr>
      </w:pPr>
    </w:p>
    <w:p w:rsidR="009F3797" w:rsidRPr="00E4411E" w:rsidRDefault="009F3797" w:rsidP="009F3797">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t xml:space="preserve">Conforme exposição de motivos, a finalidade do Projeto de Lei em análise é a instalação de equipamentos (câmeras e circuito interno de filmagem e televisão) que visam a proteção dos usuários, consumidores, funcionários e proprietários que utilizam ou proporcionam os serviços bancários no município. </w:t>
      </w:r>
    </w:p>
    <w:p w:rsidR="00E4411E" w:rsidRPr="00E4411E" w:rsidRDefault="00E4411E" w:rsidP="00E4411E">
      <w:pPr>
        <w:ind w:left="1134" w:firstLine="708"/>
        <w:jc w:val="both"/>
        <w:rPr>
          <w:bCs/>
          <w:i/>
          <w:sz w:val="22"/>
          <w:szCs w:val="22"/>
        </w:rPr>
      </w:pPr>
      <w:r w:rsidRPr="00E4411E">
        <w:rPr>
          <w:bCs/>
          <w:i/>
          <w:sz w:val="22"/>
          <w:szCs w:val="22"/>
        </w:rPr>
        <w:t xml:space="preserve">Percebe-se, portanto, que pretende-se legislar sobre assunto de interesse local. Sobre a matéria, a Constituição Federal, assim prevê: </w:t>
      </w: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t>Art. 30. Compete aos Municípios:</w:t>
      </w: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t>I - legislar sobre assuntos de interesse local;</w:t>
      </w: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tab/>
        <w:t xml:space="preserve">Portanto, revela-se adequada a competência municipal para legislar sobre a matéria exposta no projeto. Nesse mesmo sentido é o entendimento do Nosso Tribunal gaúcho, (TJ/RS) conforme colaciona-se os julgados a seguir: </w:t>
      </w: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t xml:space="preserve">Ementa: APELAÇÃO CÍVEL. DIREITO TRIBUTÁRIO. EMBARGOS À EXECUÇÃO FISCAL. ESTABELECIMENTOS BANCÁRIOS. EQUIPAMENTOS DE SEGURANÇA. COMPETÊNCIA LEGISLATIVA. MUNICÍPIO. COMPETÊNCIA. Atribui-se ao Município competência para legislar acerca da pertinência de equipamentos de segurança em estabelecimentos bancários, bem como em postos de auto-atendimento, sem que isso implique usurpação das prerrogativas fiscalizadoras do Banco Central do Brasil, observado o disposto no artigo 30, inciso I, da Constituição Federal. AUTORIDADE COMPETENTE. </w:t>
      </w:r>
      <w:r w:rsidRPr="00E4411E">
        <w:rPr>
          <w:bCs/>
          <w:i/>
          <w:sz w:val="22"/>
          <w:szCs w:val="22"/>
        </w:rPr>
        <w:lastRenderedPageBreak/>
        <w:t>AUTENTICAÇÃO. Existindo clara identificação do funcionário responsável pela expedição da certidão, com a respectiva assinatura e autenticação do título, não há falar em ausência de indicação de autoridade competente, já que ausente qualquer elemento probatório que retire a competência do servidor signatário do título. VALORES EXIGIDOS. ADEQUADA DISCRIMINAÇÃO. Constando na certidão de dívida ativa as informações acerca da origem e natureza do crédito, dos encargos exigidos, bem como dos demais elementos indispensáveis para apuração dos valores cobrados, com a devida referência aos dispositivos legais aplicados, reconhece-se a validade do título, já que devidamente possibilitada a ampla defesa ao contribuinte. DEMONSTRATIVO DE DÉBITO. DESNECESSIDADE. Mostra-se desnecessária a instrução da petição inicial da execução fiscal acompanhado do demonstrativo de débito, uma vez que não se encontra elencado como elemento indispensável à instauração da execução fiscal, sendo suficiente a apresentação de certidão que discrimine adequadamente a composição do débito, observado o disposto no artigo 6º, § 1º e § 2º, da Lei 6.830/80. HONORÁRIOS ADVOCATÍCIOS. MANUTENÇA. Tratando-se de execução embargada, cabe ao magistrado arbitrar a verba honorária segundo sua apreciação eqüitativa, observadas as normas das alíneas `a”, `b” e `c” do § 3º do artigo 20 do CPC. Assim, considerando o zelo profissional, o lugar de prestação do serviço, bem como a natureza e valor da causa (R$ 47.318,00), impõe-se a manutenção da verba honorária em 20% do valor do crédito. APELO DESPROVIDO. (Apelação Cível Nº 70037997749, Primeira Câmara Cível, Tribunal de Justiça do RS, Relator: Jorge Maraschin dos Santos, Julgado em 27/10/2010).</w:t>
      </w: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t>Ementa: AÇÃO DIRETA DE INCONSTITUCIONALIDADE. MUNICÍPIO DE BENTO GONÇALVES. LEI N.º 4.701, DE 06 DE OUTUBRO DE 2009. INSTALAÇÃO DE PAINÉIS OPACOS NAS AGÊNCIAS BANCÁRIAS E INSTITUIÇÕES FINANCEIRAS DO MUNICÍPIO. ASSUNTO DE INTERESSE LOCAL. COMPETÊNCIA DO MUNICÍPIO PARA LEGISLAR SOBRE A INSTALAÇÃO DE EQUIPAMENTOS DE SEGURANÇA EM ESTABELECIMENTOS BANCÁRIOS. PRECEDENTES DO STF E DO STJ. Dispondo o Município de competência para exigir, mediante lei formal, a instalação de equipamentos de segurança em estabelecimentos bancários, conforme posição firmada pelos Tribunais Superiores, não se afigura inconstitucional a Lei n.º 4.701, de 06 de outubro de 2009, que torna obrigatória a instalação de painéis opacos nas agências bancárias e instituições financeiras do Município de Bento Gonçalves, especialmente quando a atual estrutura organizacional do Município apresenta condições de suportar as atribuições de fiscalização e eventual sancionamento impostas pela norma. (Ação Direta de Inconstitucionalidade Nº 70038024204, Tribunal Pleno, Tribunal de Justiça do RS, Relator: Armínio José Abreu Lima da Rosa, Julgado em 18/10/2010)</w:t>
      </w: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t xml:space="preserve">Nesse mesmo viés, o STF (Supremo Tribunal Federal) firmou o seu entendimento: </w:t>
      </w: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t xml:space="preserve">AGRAVO DE INSTRUMENTO. CONSTITUCIONAL. COMPETÊNCIA MUNICIPAL PARA DETERMINAR A INSTALAÇÃO DE SISTEMA DE SEGURANÇA EM INSTITUIÇÕES BANCÁRIAS. PRECEDENTES. AGRAVO AO QUAL SE NEGA SEGUIMENTO.Relatório 1. Agravo de instrumento contra decisão que não admitiu recurso extraordinário, interposto com base no art. 102, inc. III, alíneas a, c e d, da Constituição da República. 2. O recurso inadmitido tem como objeto o seguinte julgado do Tribunal de Justiça do Rio Grande do Sul: “ADMINISTRATIVO E CONSTITUCIONAL. MUNICÍPIO DE PORTO ALEGRE. BANCOS. PORTAS GIRATÓRIAS. AÇÃO ANULATÓRIA. AUTOS DE INFRAÇÃO. LEI MUNICIPAL Nº 7.494/94. Legalidade dos autos de infração lavrados pelo Município de Porto Alegre contra o Banco ABN AMRO Real S.A. por não ter este </w:t>
      </w:r>
      <w:r w:rsidRPr="00E4411E">
        <w:rPr>
          <w:bCs/>
          <w:i/>
          <w:sz w:val="22"/>
          <w:szCs w:val="22"/>
        </w:rPr>
        <w:lastRenderedPageBreak/>
        <w:t>dado cumprimento ao que determina a LM nº 7.494/94, que exigira a instalação de equipamentos de segurança nas instituições financeiras localizadas na Capital. Constitucionalidade da referida lei municipal afirmada por esta Corte Estadual e pelo STF. Inocorrência de invasão à competência reservada à União. Razoabilidade da determinação de sua instalação ‘em todos os acessos destinados ao público’, abrangendo as portas de acesso às referidas ante-salas. Diante da inércia da instituição financeira em cumprir os comandos legais, correta a aplicação das penalidades previstas no édito municipal mediante a sua autuação em procedimento que atendeu ao devido processo legal. Honorários de advogado, incidentes sobre o valor atribuído à causa pela própria autora, que, consoante os balizadores inscritos no art. 20, § 3º, do CPC, não se mostram exacerbados. Precedentes do STF e deste TJRS. SENTENÇA DE IMPROCEDÊNCIA MANTIDA. APELAÇÃO DESPROVIDA” (fl. 24). 3. A decisão agravada teve como fundamento para a inadmissibilidade do recurso extraordinário a circunstância de estar o julgado recorrido em conformidade com a jurisprudência do Supremo Tribunal Federal (fl. 110). 4. O Agravante alega que teriam sido contrariados os arts. 5º, inc. II e VII, 30, inc. I, 37, 48, caput e inc. XIII, 144, § 1º, 163, inc. V, e 192, inc. IV, da Constituição da República (fl. 68). Argumenta que “a Constituição Federal não atribuiu ao Município competência para legislar sobre segurança de estabelecimentos bancários – mas admite, com efeito, a suplção da legislação federal” (fl. 73). Afirma, também, que “a matéria a respeito da segurança dos estabelecimentos bancários com especificação dos equipamentos que devem ser instalados é regida por Lei Federal própria, a saber a Lei nº 7.2102/83 ( ) Logo, descabe suplementação por lei municipal, no caso e quanto a instalação de portas de segurança nas áreas especiais de auto-atendimento” (fl. 73). Analisada a matéria posta à apreciação, DECIDO. 5. Razão jurídica não assiste ao Agravante. 6. O Supremo Tribunal Federal assentou que o Município tem competência para legislar sobre equipamentos de segurança (portas eletrônicas) em estabelecimentos bancários. Nesse sentido: “ESTABELECIMENTOS BANCÁRIOS - COMPETÊNCIA DO MUNICÍPIO PARA, MEDIANTE LEI, OBRIGAR AS INSTITUIÇÕES FINANCEIRAS A INSTALAR, EM SUAS AGÊNCIAS, DISPOSITIVOS DE SEGURANÇA - INOCORRÊNCIA DE USURPAÇÃO DA COMPETÊNCIA LEGISLATIVA FEDERAL - RECURSO IMPROVIDO. - O Município dispõe de competência, para, com apoio no poder autônomo que lhe confere a Constituição da República, exigir, mediante lei formal, a instalação, em estabelecimentos bancários, dos pertinentes equipamentos de segurança, tais como portas eletrônicas ou câmaras filmadoras, sem que o exercício dessa atribuição institucional, fundada em título constitucional específico (CF, art. 30, I), importe em conflito com as prerrogativas fiscalizadoras do Banco Central do Brasil. Precedentes”(RE 312.050-AgR, Rel. Min. Celso de Mello, Segunda Turma, DJ 6.5.2005, grifos nossos). “CONSTITUCIONAL. BANCOS: PORTAS ELETRÔNICAS: COMPETÊNCIA MUNICIPAL. C.F., art. 30, I, art. 192. I. - Competência municipal para legislar sobre questões que digam respeito a edificações ou construções realizadas no município: exigência, em tais edificações, de certos componentes. Numa outra perspectiva, exigência de equipamentos de segurança, em imóveis destinados ao atendimento do público, para segurança das pessoas. C.F., art. 30, I. II. - R.E. conhecido, em parte, mas improvido” (RE 240.406, Rel. Min. Carlos Velloso, Segunda Turma, DJ 27.2.2004, grifos nossos). E ainda AI 429.070, Rel. Min. Gilmar Mendes, DJ 12.8.2005; e AI 347.717, Rel. Min. Celso de Mello, DJ 5.8.2005. Dessa orientação jurisprudencial não divergiu o acórdão recorrido. 7. Pelo exposto, nego seguimento a este agravo (art. 557, caput, do Código de Processo Civil e art. 21, § 1º, do Regimento Interno do Supremo Tribunal Federal). Publique-se. Brasília, 8 de maio de 2012.Ministra CÁRMEN LÚCIARelatora(STF - AI: 765514 RS, Relator: Min. CÁRMEN LÚCIA, Data de Julgamento: 08/05/2012,  Data de Publicação: DJe-097 DIVULG 17/05/2012 PUBLIC 18/05/2012).</w:t>
      </w: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lastRenderedPageBreak/>
        <w:t>Por fim, cabe tecer alguns comentários acerca da iniciativa de leis no processo legislativo.</w:t>
      </w: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t>Conforme preceitua Manoel Gonçalves Ferreira Filho , a iniciativa não se caracteriza como uma fase do processo legislativo, sendo o ato que o desencadeia. Consiste no ato que inova o direito, que é uma declaração de vontade formulada por escrito e articulada. Este ato manifesta-se pelo depósito do instrumento em mãos da autoridade competente.</w:t>
      </w:r>
    </w:p>
    <w:p w:rsidR="00E4411E" w:rsidRPr="00E4411E" w:rsidRDefault="00E4411E" w:rsidP="00E4411E">
      <w:pPr>
        <w:ind w:left="1134" w:firstLine="708"/>
        <w:jc w:val="both"/>
        <w:rPr>
          <w:bCs/>
          <w:i/>
          <w:sz w:val="22"/>
          <w:szCs w:val="22"/>
        </w:rPr>
      </w:pPr>
      <w:r w:rsidRPr="00E4411E">
        <w:rPr>
          <w:bCs/>
          <w:i/>
          <w:sz w:val="22"/>
          <w:szCs w:val="22"/>
        </w:rPr>
        <w:t>A iniciativa pode ser de duas formas: geral ou reservada.</w:t>
      </w:r>
    </w:p>
    <w:p w:rsidR="00E4411E" w:rsidRPr="00E4411E" w:rsidRDefault="00E4411E" w:rsidP="00E4411E">
      <w:pPr>
        <w:ind w:left="1134" w:firstLine="708"/>
        <w:jc w:val="both"/>
        <w:rPr>
          <w:bCs/>
          <w:i/>
          <w:sz w:val="22"/>
          <w:szCs w:val="22"/>
        </w:rPr>
      </w:pPr>
      <w:r w:rsidRPr="00E4411E">
        <w:rPr>
          <w:bCs/>
          <w:i/>
          <w:sz w:val="22"/>
          <w:szCs w:val="22"/>
        </w:rPr>
        <w:t xml:space="preserve"> A iniciativa geral está expressa no art 61, caput, da CF: </w:t>
      </w: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t xml:space="preserve">Já a iniciativa reservada ao Presidente da República está prevista no art. 61, § 1º da Constituição Federal (CF), regra que é aplicada por simetria aos municípios: </w:t>
      </w: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t>§ 1º São de iniciativa privativa do Presidente da República as leis que:</w:t>
      </w:r>
    </w:p>
    <w:p w:rsidR="00E4411E" w:rsidRPr="00E4411E" w:rsidRDefault="00E4411E" w:rsidP="00E4411E">
      <w:pPr>
        <w:ind w:left="1134" w:firstLine="708"/>
        <w:jc w:val="both"/>
        <w:rPr>
          <w:bCs/>
          <w:i/>
          <w:sz w:val="22"/>
          <w:szCs w:val="22"/>
        </w:rPr>
      </w:pPr>
      <w:r w:rsidRPr="00E4411E">
        <w:rPr>
          <w:bCs/>
          <w:i/>
          <w:sz w:val="22"/>
          <w:szCs w:val="22"/>
        </w:rPr>
        <w:t>I - fixem ou modifiquem os efetivos das Forças Armadas;</w:t>
      </w:r>
    </w:p>
    <w:p w:rsidR="00E4411E" w:rsidRPr="00E4411E" w:rsidRDefault="00E4411E" w:rsidP="00E4411E">
      <w:pPr>
        <w:ind w:left="1134" w:firstLine="708"/>
        <w:jc w:val="both"/>
        <w:rPr>
          <w:bCs/>
          <w:i/>
          <w:sz w:val="22"/>
          <w:szCs w:val="22"/>
        </w:rPr>
      </w:pPr>
      <w:r w:rsidRPr="00E4411E">
        <w:rPr>
          <w:bCs/>
          <w:i/>
          <w:sz w:val="22"/>
          <w:szCs w:val="22"/>
        </w:rPr>
        <w:t>II - disponham sobre:</w:t>
      </w:r>
    </w:p>
    <w:p w:rsidR="00E4411E" w:rsidRPr="00E4411E" w:rsidRDefault="00E4411E" w:rsidP="00E4411E">
      <w:pPr>
        <w:ind w:left="1134" w:firstLine="708"/>
        <w:jc w:val="both"/>
        <w:rPr>
          <w:bCs/>
          <w:i/>
          <w:sz w:val="22"/>
          <w:szCs w:val="22"/>
        </w:rPr>
      </w:pPr>
      <w:r w:rsidRPr="00E4411E">
        <w:rPr>
          <w:bCs/>
          <w:i/>
          <w:sz w:val="22"/>
          <w:szCs w:val="22"/>
        </w:rPr>
        <w:t>a) criação de cargos, funções ou empregos públicos na administração direta e autárquica ou aumento de sua remuneração;</w:t>
      </w:r>
    </w:p>
    <w:p w:rsidR="00E4411E" w:rsidRPr="00E4411E" w:rsidRDefault="00E4411E" w:rsidP="00E4411E">
      <w:pPr>
        <w:ind w:left="1134" w:firstLine="708"/>
        <w:jc w:val="both"/>
        <w:rPr>
          <w:bCs/>
          <w:i/>
          <w:sz w:val="22"/>
          <w:szCs w:val="22"/>
        </w:rPr>
      </w:pPr>
      <w:r w:rsidRPr="00E4411E">
        <w:rPr>
          <w:bCs/>
          <w:i/>
          <w:sz w:val="22"/>
          <w:szCs w:val="22"/>
        </w:rPr>
        <w:t>b) organização administrativa e judiciária, matéria tributária e orçamentária, serviços públicos e pessoal da administração dos Territórios;</w:t>
      </w:r>
    </w:p>
    <w:p w:rsidR="00E4411E" w:rsidRPr="00E4411E" w:rsidRDefault="00E4411E" w:rsidP="00E4411E">
      <w:pPr>
        <w:ind w:left="1134" w:firstLine="708"/>
        <w:jc w:val="both"/>
        <w:rPr>
          <w:bCs/>
          <w:i/>
          <w:sz w:val="22"/>
          <w:szCs w:val="22"/>
        </w:rPr>
      </w:pPr>
      <w:r w:rsidRPr="00E4411E">
        <w:rPr>
          <w:bCs/>
          <w:i/>
          <w:sz w:val="22"/>
          <w:szCs w:val="22"/>
        </w:rPr>
        <w:t xml:space="preserve">c) servidores públicos da União e Territórios, seu regime jurídico, provimento de cargos, estabilidade e aposentadoria; </w:t>
      </w:r>
    </w:p>
    <w:p w:rsidR="00E4411E" w:rsidRPr="00E4411E" w:rsidRDefault="00E4411E" w:rsidP="00E4411E">
      <w:pPr>
        <w:ind w:left="1134" w:firstLine="708"/>
        <w:jc w:val="both"/>
        <w:rPr>
          <w:bCs/>
          <w:i/>
          <w:sz w:val="22"/>
          <w:szCs w:val="22"/>
        </w:rPr>
      </w:pPr>
      <w:r w:rsidRPr="00E4411E">
        <w:rPr>
          <w:bCs/>
          <w:i/>
          <w:sz w:val="22"/>
          <w:szCs w:val="22"/>
        </w:rPr>
        <w:t>d) organização do Ministério Público e da Defensoria Pública da União, bem como normas gerais para a organização do Ministério Público e da Defensoria Pública dos Estados, do Distrito Federal e dos Territórios;</w:t>
      </w:r>
    </w:p>
    <w:p w:rsidR="00E4411E" w:rsidRPr="00E4411E" w:rsidRDefault="00E4411E" w:rsidP="00E4411E">
      <w:pPr>
        <w:ind w:left="1134" w:firstLine="708"/>
        <w:jc w:val="both"/>
        <w:rPr>
          <w:bCs/>
          <w:i/>
          <w:sz w:val="22"/>
          <w:szCs w:val="22"/>
        </w:rPr>
      </w:pPr>
      <w:r w:rsidRPr="00E4411E">
        <w:rPr>
          <w:bCs/>
          <w:i/>
          <w:sz w:val="22"/>
          <w:szCs w:val="22"/>
        </w:rPr>
        <w:t xml:space="preserve">e) criação e extinção de Ministérios e órgãos da administração pública, observado o disposto no art. 84, VI;  </w:t>
      </w:r>
    </w:p>
    <w:p w:rsidR="00E4411E" w:rsidRPr="00E4411E" w:rsidRDefault="00E4411E" w:rsidP="00E4411E">
      <w:pPr>
        <w:ind w:left="1134" w:firstLine="708"/>
        <w:jc w:val="both"/>
        <w:rPr>
          <w:bCs/>
          <w:i/>
          <w:sz w:val="22"/>
          <w:szCs w:val="22"/>
        </w:rPr>
      </w:pPr>
      <w:r w:rsidRPr="00E4411E">
        <w:rPr>
          <w:bCs/>
          <w:i/>
          <w:sz w:val="22"/>
          <w:szCs w:val="22"/>
        </w:rPr>
        <w:t xml:space="preserve">f) militares das Forças Armadas, seu regime jurídico, provimento de cargos, promoções, estabilidade, remuneração, reforma e transferência para a reserva. </w:t>
      </w:r>
    </w:p>
    <w:p w:rsidR="00E4411E" w:rsidRPr="00E4411E" w:rsidRDefault="00E4411E" w:rsidP="00E4411E">
      <w:pPr>
        <w:ind w:left="1134" w:firstLine="708"/>
        <w:jc w:val="both"/>
        <w:rPr>
          <w:bCs/>
          <w:i/>
          <w:sz w:val="22"/>
          <w:szCs w:val="22"/>
        </w:rPr>
      </w:pPr>
    </w:p>
    <w:p w:rsidR="00E4411E" w:rsidRPr="00E4411E" w:rsidRDefault="00E4411E" w:rsidP="00E4411E">
      <w:pPr>
        <w:ind w:left="1134" w:firstLine="708"/>
        <w:jc w:val="both"/>
        <w:rPr>
          <w:bCs/>
          <w:i/>
          <w:sz w:val="22"/>
          <w:szCs w:val="22"/>
        </w:rPr>
      </w:pPr>
      <w:r w:rsidRPr="00E4411E">
        <w:rPr>
          <w:bCs/>
          <w:i/>
          <w:sz w:val="22"/>
          <w:szCs w:val="22"/>
        </w:rPr>
        <w:t xml:space="preserve">Logo, todas as demais matérias que não estejam reservadas ao Poder Executivo, aos Tribunais e ao Ministério Público são matérias de competência residual, sendo partilhadas entre deputados, senadores, comissões das casas legislativas, cidadãos e o Presidente da República (art 61, caput, da CF). </w:t>
      </w:r>
    </w:p>
    <w:p w:rsidR="00E4411E" w:rsidRPr="00E4411E" w:rsidRDefault="00E4411E" w:rsidP="00E4411E">
      <w:pPr>
        <w:ind w:left="1134" w:firstLine="708"/>
        <w:jc w:val="both"/>
        <w:rPr>
          <w:bCs/>
          <w:i/>
          <w:sz w:val="22"/>
          <w:szCs w:val="22"/>
        </w:rPr>
      </w:pPr>
      <w:r w:rsidRPr="00E4411E">
        <w:rPr>
          <w:bCs/>
          <w:i/>
          <w:sz w:val="22"/>
          <w:szCs w:val="22"/>
        </w:rPr>
        <w:t xml:space="preserve">Por conseguinte, as normas previstas na Constituição Federal sobre iniciativa legislativa são paradigmas para as Constituições dos Estados e Leis Orgânicas dos Municípios. </w:t>
      </w:r>
    </w:p>
    <w:p w:rsidR="00E4411E" w:rsidRPr="00E4411E" w:rsidRDefault="00E4411E" w:rsidP="00E4411E">
      <w:pPr>
        <w:ind w:left="1134" w:firstLine="708"/>
        <w:jc w:val="both"/>
        <w:rPr>
          <w:bCs/>
          <w:i/>
          <w:sz w:val="22"/>
          <w:szCs w:val="22"/>
        </w:rPr>
      </w:pPr>
      <w:r w:rsidRPr="00E4411E">
        <w:rPr>
          <w:bCs/>
          <w:i/>
          <w:sz w:val="22"/>
          <w:szCs w:val="22"/>
        </w:rPr>
        <w:t xml:space="preserve">Sendo assim, não há vício de iniciativa no PL em análise, tendo em vista que a matéria não se encontra reservada ao Poder Executivo. </w:t>
      </w:r>
    </w:p>
    <w:p w:rsidR="00E4411E" w:rsidRPr="00E4411E" w:rsidRDefault="00E4411E" w:rsidP="00E4411E">
      <w:pPr>
        <w:ind w:left="1134" w:firstLine="708"/>
        <w:jc w:val="both"/>
        <w:rPr>
          <w:bCs/>
          <w:i/>
          <w:sz w:val="22"/>
          <w:szCs w:val="22"/>
        </w:rPr>
      </w:pPr>
      <w:r w:rsidRPr="00E4411E">
        <w:rPr>
          <w:bCs/>
          <w:i/>
          <w:sz w:val="22"/>
          <w:szCs w:val="22"/>
        </w:rPr>
        <w:t>Diante do exposto, conclui-se pela viabilidade técnica do Projeto de Lei em análise.</w:t>
      </w:r>
    </w:p>
    <w:p w:rsidR="00EA39EB" w:rsidRDefault="00EA39EB" w:rsidP="009F3797">
      <w:pPr>
        <w:jc w:val="both"/>
        <w:rPr>
          <w:bCs/>
        </w:rPr>
      </w:pPr>
    </w:p>
    <w:p w:rsidR="00EE4C49" w:rsidRDefault="00E4411E" w:rsidP="000D2543">
      <w:pPr>
        <w:ind w:firstLine="708"/>
        <w:jc w:val="both"/>
        <w:rPr>
          <w:b/>
          <w:bCs/>
        </w:rPr>
      </w:pPr>
      <w:r>
        <w:rPr>
          <w:bCs/>
        </w:rPr>
        <w:t xml:space="preserve">Este relator, devido a importância do Projeto de Lei em análise, apresentou a emenda aditiva estendendo a obrigatoriedade de instalação de câmeras e circuito interno de filmagem e televisão </w:t>
      </w:r>
      <w:r w:rsidRPr="00E4411E">
        <w:rPr>
          <w:b/>
          <w:bCs/>
        </w:rPr>
        <w:t>na</w:t>
      </w:r>
      <w:r>
        <w:rPr>
          <w:b/>
          <w:bCs/>
        </w:rPr>
        <w:t xml:space="preserve">s agências dos correios (grifou-se). </w:t>
      </w:r>
    </w:p>
    <w:p w:rsidR="00E4411E" w:rsidRDefault="00E4411E" w:rsidP="000D2543">
      <w:pPr>
        <w:ind w:firstLine="708"/>
        <w:jc w:val="both"/>
        <w:rPr>
          <w:bCs/>
        </w:rPr>
      </w:pPr>
      <w:r>
        <w:rPr>
          <w:bCs/>
        </w:rPr>
        <w:lastRenderedPageBreak/>
        <w:t>Esta Comissão realizou reunião individualizada</w:t>
      </w:r>
      <w:r w:rsidR="006970E4">
        <w:rPr>
          <w:bCs/>
        </w:rPr>
        <w:t>, no dia 16/06</w:t>
      </w:r>
      <w:r>
        <w:rPr>
          <w:bCs/>
        </w:rPr>
        <w:t xml:space="preserve"> com os representantes do Sindi</w:t>
      </w:r>
      <w:r w:rsidR="006970E4">
        <w:rPr>
          <w:bCs/>
        </w:rPr>
        <w:t xml:space="preserve">cado dos Vigilantes e posteriormente, no dia 04/08, com os representantes dos bancos. </w:t>
      </w:r>
    </w:p>
    <w:p w:rsidR="006970E4" w:rsidRDefault="006970E4" w:rsidP="000D2543">
      <w:pPr>
        <w:ind w:firstLine="708"/>
        <w:jc w:val="both"/>
        <w:rPr>
          <w:bCs/>
        </w:rPr>
      </w:pPr>
      <w:r>
        <w:rPr>
          <w:bCs/>
        </w:rPr>
        <w:tab/>
        <w:t xml:space="preserve">Por fim, na data de 25/08, realizou-se na Câmara de Vereadores audiência pública para o debate do presente projeto, sendo que na oportunidade compareceram representantes da Brigada Militar, dos Sindicato dos Vigilantes, dos bancos, vereadores, representante do Sindilojas e da OAB e todos foram unânimes quanto a importância do Projeto para a segurança da comunidade em geral e a aprovação do mesmo.  </w:t>
      </w:r>
    </w:p>
    <w:p w:rsidR="00EE4C49" w:rsidRPr="005132FF" w:rsidRDefault="00EE4C49" w:rsidP="007A2A59">
      <w:pPr>
        <w:ind w:firstLine="708"/>
        <w:jc w:val="both"/>
        <w:rPr>
          <w:bCs/>
        </w:rPr>
      </w:pPr>
    </w:p>
    <w:p w:rsidR="00EA39EB" w:rsidRDefault="00AD6F69" w:rsidP="00C929B5">
      <w:pPr>
        <w:jc w:val="center"/>
        <w:rPr>
          <w:b/>
          <w:bCs/>
        </w:rPr>
      </w:pPr>
      <w:r>
        <w:rPr>
          <w:b/>
          <w:bCs/>
        </w:rPr>
        <w:t>Análise:</w:t>
      </w:r>
    </w:p>
    <w:p w:rsidR="00A65E15" w:rsidRDefault="00A65E15" w:rsidP="00C929B5">
      <w:pPr>
        <w:jc w:val="center"/>
        <w:rPr>
          <w:b/>
          <w:bCs/>
        </w:rPr>
      </w:pPr>
    </w:p>
    <w:p w:rsidR="006970E4" w:rsidRDefault="00052047" w:rsidP="007A2A59">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6970E4">
        <w:t xml:space="preserve">, bem como pela sua importância na segurança de todos os munícipes, sendo que todas as entidades envolvidas opinaram pela sua aprovação. </w:t>
      </w:r>
    </w:p>
    <w:p w:rsidR="000D2543" w:rsidRDefault="006970E4" w:rsidP="007A2A59">
      <w:pPr>
        <w:ind w:firstLine="708"/>
        <w:jc w:val="both"/>
      </w:pPr>
      <w:r>
        <w:t xml:space="preserve"> </w:t>
      </w:r>
    </w:p>
    <w:p w:rsidR="003D63AD" w:rsidRDefault="00447978" w:rsidP="00C929B5">
      <w:pPr>
        <w:jc w:val="center"/>
        <w:rPr>
          <w:b/>
        </w:rPr>
      </w:pPr>
      <w:r>
        <w:rPr>
          <w:b/>
        </w:rPr>
        <w:t>Conclusão do Voto:</w:t>
      </w:r>
    </w:p>
    <w:p w:rsidR="00A65E15" w:rsidRDefault="00A65E15" w:rsidP="00C929B5">
      <w:pPr>
        <w:jc w:val="center"/>
        <w:rPr>
          <w:b/>
        </w:rPr>
      </w:pPr>
    </w:p>
    <w:p w:rsidR="00EA39EB" w:rsidRDefault="00AD6F69" w:rsidP="00AD6F69">
      <w:pPr>
        <w:jc w:val="both"/>
      </w:pPr>
      <w:r>
        <w:rPr>
          <w:b/>
        </w:rPr>
        <w:tab/>
      </w:r>
      <w:r w:rsidRPr="007450B1">
        <w:t>Diant</w:t>
      </w:r>
      <w:r w:rsidR="00484795">
        <w:t>e dos fundam</w:t>
      </w:r>
      <w:r w:rsidR="00EA39EB">
        <w:t>entos expostos, est</w:t>
      </w:r>
      <w:r w:rsidR="00A65E15">
        <w:t>e</w:t>
      </w:r>
      <w:r w:rsidRPr="007450B1">
        <w:t xml:space="preserve"> Relator disponibiliza o presente Voto Favorável à proposição. </w:t>
      </w:r>
    </w:p>
    <w:p w:rsidR="00D1056E" w:rsidRDefault="00D1056E" w:rsidP="00AD6F69">
      <w:pPr>
        <w:jc w:val="both"/>
      </w:pPr>
    </w:p>
    <w:p w:rsidR="00A65E15" w:rsidRPr="008B1AE8" w:rsidRDefault="00A65E15" w:rsidP="00AD6F69">
      <w:pPr>
        <w:jc w:val="both"/>
      </w:pPr>
    </w:p>
    <w:p w:rsidR="00C929B5" w:rsidRDefault="00AD6F69" w:rsidP="00C929B5">
      <w:r>
        <w:rPr>
          <w:b/>
        </w:rPr>
        <w:tab/>
      </w:r>
      <w:r w:rsidR="00755094">
        <w:t>Sala das Co</w:t>
      </w:r>
      <w:r w:rsidR="00AB328F">
        <w:t xml:space="preserve">missões, em </w:t>
      </w:r>
      <w:r w:rsidR="006970E4">
        <w:t>25</w:t>
      </w:r>
      <w:r w:rsidR="00966B03">
        <w:t xml:space="preserve"> </w:t>
      </w:r>
      <w:r w:rsidR="00EE4C49">
        <w:t>de agosto</w:t>
      </w:r>
      <w:r w:rsidR="00051BBE">
        <w:t xml:space="preserve"> de 201</w:t>
      </w:r>
      <w:r w:rsidR="005A62F2">
        <w:t>6</w:t>
      </w:r>
    </w:p>
    <w:p w:rsidR="00EE4C49" w:rsidRDefault="00EE4C49" w:rsidP="00C929B5"/>
    <w:p w:rsidR="00C929B5" w:rsidRDefault="00C929B5" w:rsidP="00C929B5"/>
    <w:p w:rsidR="00EA39EB" w:rsidRDefault="00C929B5" w:rsidP="00C929B5">
      <w:r>
        <w:t xml:space="preserve">      </w:t>
      </w:r>
      <w:r w:rsidR="00EA39EB">
        <w:t>______</w:t>
      </w:r>
      <w:r>
        <w:t>____________________________</w:t>
      </w:r>
    </w:p>
    <w:p w:rsidR="00F3565A" w:rsidRPr="004A23F3" w:rsidRDefault="00A65E15" w:rsidP="00EA39EB">
      <w:pPr>
        <w:ind w:firstLine="708"/>
      </w:pPr>
      <w:r>
        <w:t xml:space="preserve">    IDO RHODEN</w:t>
      </w:r>
      <w:r w:rsidR="00D05BFA">
        <w:t xml:space="preserve"> – RELATOR</w:t>
      </w:r>
    </w:p>
    <w:p w:rsidR="00F0251F" w:rsidRDefault="00F0251F" w:rsidP="00AB328F"/>
    <w:p w:rsidR="00EE4C49" w:rsidRDefault="00EE4C49" w:rsidP="00AB328F"/>
    <w:p w:rsidR="00EE4C49" w:rsidRDefault="00EE4C49" w:rsidP="00AB328F"/>
    <w:p w:rsidR="007A2A59" w:rsidRDefault="00AB328F" w:rsidP="007A2A59">
      <w:pPr>
        <w:rPr>
          <w:b/>
        </w:rPr>
      </w:pPr>
      <w:r w:rsidRPr="00387FA5">
        <w:rPr>
          <w:b/>
        </w:rPr>
        <w:t>Pelas Conclusões:</w:t>
      </w:r>
    </w:p>
    <w:p w:rsidR="007A2A59" w:rsidRDefault="007A2A59" w:rsidP="007A2A59">
      <w:pPr>
        <w:rPr>
          <w:b/>
        </w:rPr>
      </w:pPr>
    </w:p>
    <w:p w:rsidR="00EE4C49" w:rsidRDefault="00EE4C49" w:rsidP="007A2A59">
      <w:pPr>
        <w:rPr>
          <w:b/>
        </w:rPr>
      </w:pPr>
    </w:p>
    <w:p w:rsidR="000F4803" w:rsidRPr="007A2A59" w:rsidRDefault="000F4803" w:rsidP="007A2A59">
      <w:pPr>
        <w:rPr>
          <w:b/>
        </w:rPr>
      </w:pPr>
    </w:p>
    <w:p w:rsidR="00AB328F" w:rsidRPr="004A23F3" w:rsidRDefault="00B07737" w:rsidP="00AB328F">
      <w:pPr>
        <w:ind w:firstLine="708"/>
      </w:pPr>
      <w:r>
        <w:t>_____</w:t>
      </w:r>
      <w:r w:rsidR="00AB328F" w:rsidRPr="004A23F3">
        <w:t>_________________</w:t>
      </w:r>
      <w:r w:rsidR="003E58A8">
        <w:t>_____________</w:t>
      </w:r>
      <w:r w:rsidR="00052047">
        <w:t>___</w:t>
      </w:r>
    </w:p>
    <w:p w:rsidR="007A2A59" w:rsidRDefault="007A2A59" w:rsidP="007A2A59">
      <w:pPr>
        <w:ind w:firstLine="708"/>
      </w:pPr>
      <w:r>
        <w:t xml:space="preserve">      CARLITO SOMMER – </w:t>
      </w:r>
      <w:r w:rsidR="00AB328F" w:rsidRPr="004A23F3">
        <w:t>PRESIDENTE</w:t>
      </w:r>
    </w:p>
    <w:p w:rsidR="00C929B5" w:rsidRDefault="00C929B5" w:rsidP="007A2A59">
      <w:pPr>
        <w:ind w:firstLine="708"/>
      </w:pPr>
    </w:p>
    <w:p w:rsidR="000F4803" w:rsidRDefault="000F4803" w:rsidP="007A2A59">
      <w:pPr>
        <w:ind w:firstLine="708"/>
      </w:pPr>
    </w:p>
    <w:p w:rsidR="00222006" w:rsidRDefault="00222006" w:rsidP="007A2A59">
      <w:pPr>
        <w:ind w:firstLine="708"/>
      </w:pPr>
    </w:p>
    <w:p w:rsidR="00222006" w:rsidRDefault="00222006" w:rsidP="007A2A59">
      <w:pPr>
        <w:ind w:firstLine="708"/>
      </w:pPr>
      <w:r>
        <w:t>_______________________________________</w:t>
      </w:r>
      <w:r w:rsidR="000F4803">
        <w:t>____</w:t>
      </w:r>
    </w:p>
    <w:p w:rsidR="00222006" w:rsidRDefault="00222006" w:rsidP="007A2A59">
      <w:pPr>
        <w:ind w:firstLine="708"/>
      </w:pPr>
      <w:r>
        <w:t>JOSE ORLAN</w:t>
      </w:r>
      <w:r w:rsidR="000F4803">
        <w:t>DO SCHÄ</w:t>
      </w:r>
      <w:r>
        <w:t>FER –</w:t>
      </w:r>
      <w:r w:rsidR="000F4803">
        <w:t xml:space="preserve"> MEMBRO</w:t>
      </w:r>
      <w:bookmarkStart w:id="0" w:name="_GoBack"/>
      <w:bookmarkEnd w:id="0"/>
    </w:p>
    <w:sectPr w:rsidR="00222006"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5EE" w:rsidRDefault="007D45EE" w:rsidP="00052047">
      <w:r>
        <w:separator/>
      </w:r>
    </w:p>
  </w:endnote>
  <w:endnote w:type="continuationSeparator" w:id="0">
    <w:p w:rsidR="007D45EE" w:rsidRDefault="007D45EE"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5EE" w:rsidRDefault="007D45EE" w:rsidP="00052047">
      <w:r>
        <w:separator/>
      </w:r>
    </w:p>
  </w:footnote>
  <w:footnote w:type="continuationSeparator" w:id="0">
    <w:p w:rsidR="007D45EE" w:rsidRDefault="007D45EE"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27F8B"/>
    <w:rsid w:val="0004207B"/>
    <w:rsid w:val="00043E8D"/>
    <w:rsid w:val="00051BBE"/>
    <w:rsid w:val="00052047"/>
    <w:rsid w:val="000558D3"/>
    <w:rsid w:val="00062AC8"/>
    <w:rsid w:val="000718D0"/>
    <w:rsid w:val="00075A97"/>
    <w:rsid w:val="00077222"/>
    <w:rsid w:val="00080D2A"/>
    <w:rsid w:val="000A1194"/>
    <w:rsid w:val="000B60F0"/>
    <w:rsid w:val="000D207D"/>
    <w:rsid w:val="000D2543"/>
    <w:rsid w:val="000D64F9"/>
    <w:rsid w:val="000E2419"/>
    <w:rsid w:val="000E70EB"/>
    <w:rsid w:val="000F4803"/>
    <w:rsid w:val="0010109D"/>
    <w:rsid w:val="00106169"/>
    <w:rsid w:val="001416C6"/>
    <w:rsid w:val="00141A57"/>
    <w:rsid w:val="00142955"/>
    <w:rsid w:val="00162706"/>
    <w:rsid w:val="00176416"/>
    <w:rsid w:val="001811F9"/>
    <w:rsid w:val="00183811"/>
    <w:rsid w:val="00183F78"/>
    <w:rsid w:val="001840BB"/>
    <w:rsid w:val="001A0540"/>
    <w:rsid w:val="001A3014"/>
    <w:rsid w:val="001A3659"/>
    <w:rsid w:val="001A6238"/>
    <w:rsid w:val="001C09AC"/>
    <w:rsid w:val="001C0FD5"/>
    <w:rsid w:val="001C1CA6"/>
    <w:rsid w:val="001D05BA"/>
    <w:rsid w:val="001E4586"/>
    <w:rsid w:val="001E60CF"/>
    <w:rsid w:val="00202507"/>
    <w:rsid w:val="00222006"/>
    <w:rsid w:val="0022329C"/>
    <w:rsid w:val="00231D64"/>
    <w:rsid w:val="0023489C"/>
    <w:rsid w:val="00237E83"/>
    <w:rsid w:val="002731B6"/>
    <w:rsid w:val="0027537F"/>
    <w:rsid w:val="0028236F"/>
    <w:rsid w:val="00291D20"/>
    <w:rsid w:val="002C6830"/>
    <w:rsid w:val="002D7A78"/>
    <w:rsid w:val="002E3FD6"/>
    <w:rsid w:val="00305440"/>
    <w:rsid w:val="0031145E"/>
    <w:rsid w:val="00317EC3"/>
    <w:rsid w:val="0032127B"/>
    <w:rsid w:val="00326871"/>
    <w:rsid w:val="00331B18"/>
    <w:rsid w:val="00350C6E"/>
    <w:rsid w:val="00357B78"/>
    <w:rsid w:val="0036240F"/>
    <w:rsid w:val="00371199"/>
    <w:rsid w:val="00373045"/>
    <w:rsid w:val="003760E4"/>
    <w:rsid w:val="00376C54"/>
    <w:rsid w:val="003924B5"/>
    <w:rsid w:val="003C337D"/>
    <w:rsid w:val="003D00EB"/>
    <w:rsid w:val="003D4718"/>
    <w:rsid w:val="003D63AD"/>
    <w:rsid w:val="003E45BA"/>
    <w:rsid w:val="003E58A8"/>
    <w:rsid w:val="003E5941"/>
    <w:rsid w:val="003F6215"/>
    <w:rsid w:val="00405930"/>
    <w:rsid w:val="004116A1"/>
    <w:rsid w:val="00445DC2"/>
    <w:rsid w:val="00447978"/>
    <w:rsid w:val="00452F82"/>
    <w:rsid w:val="00454545"/>
    <w:rsid w:val="00461440"/>
    <w:rsid w:val="00462F38"/>
    <w:rsid w:val="004775D8"/>
    <w:rsid w:val="00477CF6"/>
    <w:rsid w:val="00482BE3"/>
    <w:rsid w:val="00484795"/>
    <w:rsid w:val="00484E4F"/>
    <w:rsid w:val="004A2736"/>
    <w:rsid w:val="004B3EE7"/>
    <w:rsid w:val="004B4E24"/>
    <w:rsid w:val="004B5DA3"/>
    <w:rsid w:val="004C5155"/>
    <w:rsid w:val="004C6EFE"/>
    <w:rsid w:val="004D66E9"/>
    <w:rsid w:val="004D7899"/>
    <w:rsid w:val="004E2CAA"/>
    <w:rsid w:val="004F6099"/>
    <w:rsid w:val="004F72F3"/>
    <w:rsid w:val="0050121D"/>
    <w:rsid w:val="005021E0"/>
    <w:rsid w:val="00504AD5"/>
    <w:rsid w:val="00505B50"/>
    <w:rsid w:val="005132FF"/>
    <w:rsid w:val="00523C39"/>
    <w:rsid w:val="00556797"/>
    <w:rsid w:val="0055748E"/>
    <w:rsid w:val="00562361"/>
    <w:rsid w:val="005654D5"/>
    <w:rsid w:val="005739B5"/>
    <w:rsid w:val="005A2A85"/>
    <w:rsid w:val="005A3D97"/>
    <w:rsid w:val="005A62F2"/>
    <w:rsid w:val="005B01F0"/>
    <w:rsid w:val="005E1307"/>
    <w:rsid w:val="005E284D"/>
    <w:rsid w:val="005F0D9B"/>
    <w:rsid w:val="00640CB7"/>
    <w:rsid w:val="00644E2A"/>
    <w:rsid w:val="00673624"/>
    <w:rsid w:val="006740E3"/>
    <w:rsid w:val="006748DA"/>
    <w:rsid w:val="0068386D"/>
    <w:rsid w:val="006921BD"/>
    <w:rsid w:val="006933A0"/>
    <w:rsid w:val="006970E4"/>
    <w:rsid w:val="006B09FC"/>
    <w:rsid w:val="006B1E42"/>
    <w:rsid w:val="006B4144"/>
    <w:rsid w:val="006B7F3D"/>
    <w:rsid w:val="006C07DD"/>
    <w:rsid w:val="006C2757"/>
    <w:rsid w:val="006C7648"/>
    <w:rsid w:val="00711109"/>
    <w:rsid w:val="00732943"/>
    <w:rsid w:val="007343F0"/>
    <w:rsid w:val="00742A00"/>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5565"/>
    <w:rsid w:val="007C5859"/>
    <w:rsid w:val="007D45EE"/>
    <w:rsid w:val="007D6404"/>
    <w:rsid w:val="007E7216"/>
    <w:rsid w:val="00801F20"/>
    <w:rsid w:val="00806C53"/>
    <w:rsid w:val="00806F99"/>
    <w:rsid w:val="00820A8F"/>
    <w:rsid w:val="00824CB1"/>
    <w:rsid w:val="00831154"/>
    <w:rsid w:val="00841A36"/>
    <w:rsid w:val="00866272"/>
    <w:rsid w:val="00871AE9"/>
    <w:rsid w:val="00880227"/>
    <w:rsid w:val="00880381"/>
    <w:rsid w:val="008805A1"/>
    <w:rsid w:val="00881F8C"/>
    <w:rsid w:val="008946E6"/>
    <w:rsid w:val="008961AE"/>
    <w:rsid w:val="00897259"/>
    <w:rsid w:val="0089771C"/>
    <w:rsid w:val="008A6D3E"/>
    <w:rsid w:val="008B1AE8"/>
    <w:rsid w:val="008D1242"/>
    <w:rsid w:val="008E5B08"/>
    <w:rsid w:val="008E7AF1"/>
    <w:rsid w:val="008F1135"/>
    <w:rsid w:val="008F1146"/>
    <w:rsid w:val="008F27E3"/>
    <w:rsid w:val="008F3E80"/>
    <w:rsid w:val="008F64BA"/>
    <w:rsid w:val="00905885"/>
    <w:rsid w:val="00906204"/>
    <w:rsid w:val="00912357"/>
    <w:rsid w:val="00914DB5"/>
    <w:rsid w:val="00920DB5"/>
    <w:rsid w:val="009330FE"/>
    <w:rsid w:val="00937518"/>
    <w:rsid w:val="00947611"/>
    <w:rsid w:val="0095314E"/>
    <w:rsid w:val="00957B11"/>
    <w:rsid w:val="00966B03"/>
    <w:rsid w:val="00971737"/>
    <w:rsid w:val="00980B34"/>
    <w:rsid w:val="00982DE9"/>
    <w:rsid w:val="00987B83"/>
    <w:rsid w:val="009C04C0"/>
    <w:rsid w:val="009C60C3"/>
    <w:rsid w:val="009C79E3"/>
    <w:rsid w:val="009C7CA3"/>
    <w:rsid w:val="009F3797"/>
    <w:rsid w:val="009F72F3"/>
    <w:rsid w:val="00A139AE"/>
    <w:rsid w:val="00A22338"/>
    <w:rsid w:val="00A2497B"/>
    <w:rsid w:val="00A41A99"/>
    <w:rsid w:val="00A43A37"/>
    <w:rsid w:val="00A46861"/>
    <w:rsid w:val="00A55211"/>
    <w:rsid w:val="00A60278"/>
    <w:rsid w:val="00A65E15"/>
    <w:rsid w:val="00A71D28"/>
    <w:rsid w:val="00A7302D"/>
    <w:rsid w:val="00A773AD"/>
    <w:rsid w:val="00A807B9"/>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4220F"/>
    <w:rsid w:val="00B50355"/>
    <w:rsid w:val="00B81669"/>
    <w:rsid w:val="00B83867"/>
    <w:rsid w:val="00B85B22"/>
    <w:rsid w:val="00BA6DDF"/>
    <w:rsid w:val="00BA7D7A"/>
    <w:rsid w:val="00BB3AB0"/>
    <w:rsid w:val="00BD123B"/>
    <w:rsid w:val="00BE4F2B"/>
    <w:rsid w:val="00C05768"/>
    <w:rsid w:val="00C15D86"/>
    <w:rsid w:val="00C34097"/>
    <w:rsid w:val="00C47479"/>
    <w:rsid w:val="00C47D83"/>
    <w:rsid w:val="00C511BB"/>
    <w:rsid w:val="00C55899"/>
    <w:rsid w:val="00C74A3F"/>
    <w:rsid w:val="00C74F14"/>
    <w:rsid w:val="00C76B15"/>
    <w:rsid w:val="00C929B5"/>
    <w:rsid w:val="00CA38B1"/>
    <w:rsid w:val="00CB16C0"/>
    <w:rsid w:val="00CB7E87"/>
    <w:rsid w:val="00CD1B2A"/>
    <w:rsid w:val="00CD6044"/>
    <w:rsid w:val="00CE4461"/>
    <w:rsid w:val="00CE7DA3"/>
    <w:rsid w:val="00D015A7"/>
    <w:rsid w:val="00D05BFA"/>
    <w:rsid w:val="00D1056E"/>
    <w:rsid w:val="00D127ED"/>
    <w:rsid w:val="00D463A1"/>
    <w:rsid w:val="00D63736"/>
    <w:rsid w:val="00D71FF0"/>
    <w:rsid w:val="00D765CD"/>
    <w:rsid w:val="00D9531E"/>
    <w:rsid w:val="00D96AC2"/>
    <w:rsid w:val="00DA3A75"/>
    <w:rsid w:val="00DD2A03"/>
    <w:rsid w:val="00DD3694"/>
    <w:rsid w:val="00DD7F22"/>
    <w:rsid w:val="00DE31B0"/>
    <w:rsid w:val="00DF2E17"/>
    <w:rsid w:val="00E01FFD"/>
    <w:rsid w:val="00E41092"/>
    <w:rsid w:val="00E4411E"/>
    <w:rsid w:val="00E4497C"/>
    <w:rsid w:val="00E44DA2"/>
    <w:rsid w:val="00E52FE9"/>
    <w:rsid w:val="00E709D9"/>
    <w:rsid w:val="00E8114F"/>
    <w:rsid w:val="00E8157C"/>
    <w:rsid w:val="00E877A6"/>
    <w:rsid w:val="00E921AA"/>
    <w:rsid w:val="00EA39EB"/>
    <w:rsid w:val="00EB36D2"/>
    <w:rsid w:val="00ED213A"/>
    <w:rsid w:val="00ED5DD9"/>
    <w:rsid w:val="00EE26F0"/>
    <w:rsid w:val="00EE2EFB"/>
    <w:rsid w:val="00EE4C49"/>
    <w:rsid w:val="00EF3B2C"/>
    <w:rsid w:val="00F0251F"/>
    <w:rsid w:val="00F124CB"/>
    <w:rsid w:val="00F1446D"/>
    <w:rsid w:val="00F15A30"/>
    <w:rsid w:val="00F15B2B"/>
    <w:rsid w:val="00F304CF"/>
    <w:rsid w:val="00F32ECD"/>
    <w:rsid w:val="00F3565A"/>
    <w:rsid w:val="00F6666E"/>
    <w:rsid w:val="00F667C3"/>
    <w:rsid w:val="00F677AA"/>
    <w:rsid w:val="00F76A68"/>
    <w:rsid w:val="00F76F93"/>
    <w:rsid w:val="00F95C39"/>
    <w:rsid w:val="00F97D60"/>
    <w:rsid w:val="00FA58D0"/>
    <w:rsid w:val="00FA676B"/>
    <w:rsid w:val="00FB137A"/>
    <w:rsid w:val="00FB65E8"/>
    <w:rsid w:val="00FE3ACD"/>
    <w:rsid w:val="00FE53A8"/>
    <w:rsid w:val="00FF5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ABF9"/>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 w:id="151965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2230</Words>
  <Characters>12044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cp:lastPrinted>2016-08-26T16:37:00Z</cp:lastPrinted>
  <dcterms:created xsi:type="dcterms:W3CDTF">2016-08-26T14:12:00Z</dcterms:created>
  <dcterms:modified xsi:type="dcterms:W3CDTF">2016-08-26T16:37:00Z</dcterms:modified>
</cp:coreProperties>
</file>