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E303C">
        <w:t xml:space="preserve"> nº 94</w:t>
      </w:r>
      <w:r w:rsidR="00536AA8">
        <w:t>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9E303C">
        <w:t>16</w:t>
      </w:r>
      <w:r w:rsidR="004C5414">
        <w:t xml:space="preserve"> de novem</w:t>
      </w:r>
      <w:r w:rsidR="00E851AA">
        <w:t>bro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E303C">
        <w:t>Mensagem nº 82</w:t>
      </w:r>
      <w:r w:rsidR="00743181">
        <w:t>/2016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r w:rsidR="00740A42">
        <w:t>Jorge Dickel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9E303C">
        <w:rPr>
          <w:bCs/>
        </w:rPr>
        <w:t xml:space="preserve"> n°68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4E59AA" w:rsidRDefault="009E303C" w:rsidP="009E303C">
      <w:pPr>
        <w:pStyle w:val="Recuodecorpodetexto"/>
        <w:ind w:left="1701" w:firstLine="0"/>
        <w:jc w:val="both"/>
        <w:rPr>
          <w:bCs/>
        </w:rPr>
      </w:pPr>
      <w:r>
        <w:rPr>
          <w:bCs/>
        </w:rPr>
        <w:t xml:space="preserve">Autoriza o Poder Executivo a proceder na alienação onerosa dos bens móveis inservíveis, obsoletos ou antieconômicos. </w:t>
      </w:r>
    </w:p>
    <w:p w:rsidR="009E303C" w:rsidRDefault="009E303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9E303C">
        <w:rPr>
          <w:bCs/>
        </w:rPr>
        <w:t xml:space="preserve"> ordinária do dia 21</w:t>
      </w:r>
      <w:r w:rsidR="004C5414">
        <w:rPr>
          <w:bCs/>
        </w:rPr>
        <w:t>/11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Conforme exposição de motivos o Projeto em análise tem por objetivo autorizar o Poder Executivo Municipal a proceder na alienação onerosa dos bens móveis considerados inservíveis, obsoletos ou antieconômicos para o uso do Município e que possuam algum valor comercial, bem como de bens imóveis que ingressaram ao patrimônio do Município através de dação em pagamento.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Os bens públicos, tem como finalidade precípua o atendimento das necessidades públicas e devem estar à disposição dos órgãos e entidades vinculadas à Administração Pública. Não havendo serventia imediata de um bem móvel, em tese, nada obsta que seja promovida a alienação ou, conforme o caso, a cedência do uso para o atendimento de uma finalidade pública, ainda que por meio de uma entidade privada. 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Como regra, a alienação dos bens públicos depende de licitação, por expressa previsão constitucional e legal, ressalvados os casos previstos na Lei de Licitações que assim dispõe:  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Art. 17.  A alienação de bens da Administração Pública, subordinada à existência de interesse público devidamente justificado, será precedida de avaliação e obedecerá às seguintes normas: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I - quando imóveis, dependerá de autorização legislativa para órgãos da administração direta e entidades autárquicas e fundacionais, e, para todos, inclusive as entidades paraestatais, dependerá de avaliação prévia e </w:t>
      </w:r>
      <w:r w:rsidRPr="009E303C">
        <w:rPr>
          <w:bCs/>
          <w:i/>
        </w:rPr>
        <w:lastRenderedPageBreak/>
        <w:t xml:space="preserve">de licitação na modalidade de concorrência, dispensada esta nos seguintes casos: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[...]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II - quando móveis, dependerá de avaliação prévia e de licitação, dispensada esta nos seguintes casos: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[...]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Assim, nos termos da Lei Federal a alienação de bens imóveis depende de autorização legislativa, já os bens móveis não dependem desta.                    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A Lei Orgânica do Município dispõe no mesmo sentido: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Art. 14. A alienação de bens municipais, subordinada à existência de interesse público devidamente justificado, será sempre precedida de avaliação   por   profissional   legalmente   habilitado   e obedecerá   às seguintes normas: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I   -   quando   imóveis, dependerá   de   autorização   legislativa   e concorrência, dispensada esta nos seguintes casos: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[...]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II -  quando móveis, dependerá de concorrência dispensada esta nos seguintes casos: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a)  doação que será permitida exclusivamente para fins ou quando houver interesse público relevante, justificado pelo Executivo;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b) permuta.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Parágrafo Único - A alienação de ações far-se-á somente em bolsa.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Em relação ao aspecto material da proposição, se revela inadequado o disposto no art.3º que autoriza a reduzir, num segundo momento, o preço da avaliação dos bens ao patamar de 60%.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Do ponto de vista jurídico, gize-se que não possui o administrador público discricionariedade para essa redução.  Do ponto de vista pragmático, a publicação de lei com essa benesse induzirá à frustração do primeiro leilão, em franco prejuízo ao erário municipal.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Ademais, no que diz respeito aos bens imóveis, embora o Projeto indique a matricula do Cartório de Registro de Imóveis, não informa a afetação do bem.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Conforme dispõe o art. 99 do Código Civil, os bens públicos classificam-se como uso comum do povo, de uso especial e os dominicais: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>Art. 99. São bens públicos: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>I - os de uso comum do povo, tais como rios, mares, estradas, ruas e praças;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>II - os de uso especial, tais como edifícios ou terrenos destinados a serviço ou estabelecimento da administração federal, estadual, territorial ou municipal, inclusive os de suas autarquias;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>III - os dominicais, que constituem o patrimônio das pessoas jurídicas de direito público, como objeto de direito pessoal, ou real, de cada uma dessas entidades.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>Parágrafo único. Não dispondo a lei em contrário, consideram-se dominicais os bens pertencentes às pessoas jurídicas de direito público a que se tenha dado estrutura de direito privado.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lastRenderedPageBreak/>
        <w:t>Art. 100. Os bens públicos de uso comum do povo e os de uso especial são inalienáveis, enquanto conservarem a sua qualificação, na forma que a lei determinar.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>Art. 101. Os bens públicos dominicais podem ser alienados, observadas as exigências da lei.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Assim, torna-se indispensável a verificação quanto à existência, ou não, de afetação dos bens imóveis elencados no projeto de lei.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Quanto a técnica legislativa, a ementa deverá ser modificada para constar também a alienação de bem imóveis, tendo em vista que àquela apenas se refere a bens móveis. </w:t>
      </w:r>
    </w:p>
    <w:p w:rsidR="009E303C" w:rsidRP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Por fim, segundo a Resolução nº 218, do Conselho Federal de Engenharia é competência do engenheiro, arquiteto ou agrônomo, conforme o caso, a avaliação de imóveis. O laudo deverá seguir as orientações da NBR 14653-1, NBR 14.653-2, no caso de terreno urbano ou NBR 14.653-3, quando se tratar de área rural. Essas normas foram expedidas no ano de 2004. </w:t>
      </w:r>
    </w:p>
    <w:p w:rsidR="009E303C" w:rsidRDefault="009E303C" w:rsidP="009E303C">
      <w:pPr>
        <w:ind w:left="1134" w:firstLine="708"/>
        <w:jc w:val="both"/>
        <w:rPr>
          <w:bCs/>
          <w:i/>
        </w:rPr>
      </w:pPr>
      <w:r w:rsidRPr="009E303C">
        <w:rPr>
          <w:bCs/>
          <w:i/>
        </w:rPr>
        <w:t xml:space="preserve">Pelo exposto, conclui-se que a viabilidade jurídica do presente de Lei fica condicionada as correções e observações sugeridas nesta Orientação Técnica. </w:t>
      </w:r>
    </w:p>
    <w:p w:rsidR="00C1521A" w:rsidRDefault="00C1521A" w:rsidP="001E7CBE">
      <w:pPr>
        <w:jc w:val="both"/>
        <w:rPr>
          <w:bCs/>
          <w:i/>
        </w:rPr>
      </w:pPr>
    </w:p>
    <w:p w:rsidR="009E303C" w:rsidRDefault="009E303C" w:rsidP="008328BA">
      <w:pPr>
        <w:ind w:firstLine="708"/>
        <w:jc w:val="both"/>
        <w:rPr>
          <w:bCs/>
        </w:rPr>
      </w:pPr>
      <w:r>
        <w:rPr>
          <w:bCs/>
        </w:rPr>
        <w:t xml:space="preserve">Diante disso, enviou-se as sugestões ao Poder Executivo, este, por sua vez, encaminhou a esta Casa Mensagem Retificativa, alterando a ementa e suprimindo o art. 3º do Projeto de Lei em análise. </w:t>
      </w:r>
    </w:p>
    <w:p w:rsidR="009E303C" w:rsidRDefault="009E303C" w:rsidP="009E303C">
      <w:pPr>
        <w:ind w:firstLine="708"/>
        <w:jc w:val="both"/>
        <w:rPr>
          <w:bCs/>
        </w:rPr>
      </w:pPr>
      <w:r>
        <w:rPr>
          <w:bCs/>
        </w:rPr>
        <w:t xml:space="preserve">Além disso, a Administração Municipal encaminhou declaração, informado que os imóveis em questão se tratam de bens dominicais, bem como avaliação dos mesmos.  </w:t>
      </w:r>
    </w:p>
    <w:p w:rsidR="008328BA" w:rsidRDefault="008328BA" w:rsidP="008328B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141BAB" w:rsidRDefault="00052047" w:rsidP="009E303C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C1521A">
        <w:rPr>
          <w:color w:val="000000"/>
        </w:rPr>
        <w:t xml:space="preserve"> de natureza material </w:t>
      </w:r>
      <w:r w:rsidR="009E303C">
        <w:rPr>
          <w:color w:val="000000"/>
        </w:rPr>
        <w:t xml:space="preserve">especialmente após as correções e envio de documentos por parte do Executivo Municipal. </w:t>
      </w:r>
    </w:p>
    <w:p w:rsidR="009E303C" w:rsidRPr="004E59AA" w:rsidRDefault="009E303C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8328BA">
        <w:t>e</w:t>
      </w:r>
      <w:r w:rsidRPr="007450B1">
        <w:t xml:space="preserve"> Relator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393BFC">
        <w:t>24</w:t>
      </w:r>
      <w:r w:rsidR="00966B03">
        <w:t xml:space="preserve"> </w:t>
      </w:r>
      <w:r w:rsidR="004C5414">
        <w:t>de novembro</w:t>
      </w:r>
      <w:r w:rsidR="00EE2C38">
        <w:t xml:space="preserve"> de 2016</w:t>
      </w:r>
    </w:p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</w:p>
    <w:p w:rsidR="004D2669" w:rsidRDefault="00141BAB" w:rsidP="00EE2C38">
      <w:pPr>
        <w:ind w:firstLine="708"/>
      </w:pPr>
      <w:r>
        <w:t xml:space="preserve">        JORGE DICKEL</w:t>
      </w:r>
      <w:r w:rsidR="008328BA">
        <w:t xml:space="preserve"> – RELATOR</w:t>
      </w:r>
    </w:p>
    <w:p w:rsidR="008328BA" w:rsidRDefault="008328BA" w:rsidP="00AB328F"/>
    <w:p w:rsidR="00393BFC" w:rsidRDefault="00393BFC" w:rsidP="00AB328F"/>
    <w:p w:rsidR="00D12F86" w:rsidRPr="00EE2C38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393BFC" w:rsidRDefault="00393BFC" w:rsidP="004D2669"/>
    <w:p w:rsidR="004D2669" w:rsidRDefault="004D2669" w:rsidP="004D2669">
      <w:r>
        <w:tab/>
        <w:t>__________________________________</w:t>
      </w:r>
    </w:p>
    <w:p w:rsidR="004D2669" w:rsidRDefault="00590EB6" w:rsidP="004D2669">
      <w:pPr>
        <w:ind w:firstLine="708"/>
      </w:pPr>
      <w:r>
        <w:t xml:space="preserve">    CARLITO SOMMER</w:t>
      </w:r>
      <w:r w:rsidR="00AF3D5C">
        <w:t xml:space="preserve"> – </w:t>
      </w:r>
      <w:r w:rsidR="004D2669">
        <w:t>PRESIDENTE</w:t>
      </w:r>
    </w:p>
    <w:p w:rsidR="00393BFC" w:rsidRDefault="00393BFC" w:rsidP="00141BAB">
      <w:pPr>
        <w:ind w:firstLine="708"/>
      </w:pPr>
      <w:bookmarkStart w:id="0" w:name="_GoBack"/>
      <w:bookmarkEnd w:id="0"/>
    </w:p>
    <w:p w:rsidR="00393BFC" w:rsidRDefault="00393BFC" w:rsidP="00141BAB">
      <w:pPr>
        <w:ind w:firstLine="708"/>
      </w:pPr>
    </w:p>
    <w:p w:rsidR="00141BAB" w:rsidRDefault="00141BAB" w:rsidP="00141BAB">
      <w:pPr>
        <w:ind w:firstLine="708"/>
      </w:pPr>
      <w:r>
        <w:t>____________________________________</w:t>
      </w:r>
    </w:p>
    <w:p w:rsidR="00141BAB" w:rsidRDefault="00141BAB" w:rsidP="00141BAB">
      <w:pPr>
        <w:ind w:firstLine="708"/>
      </w:pPr>
      <w:r>
        <w:t xml:space="preserve">        IDO RHODEN – VICE-PRESIDENTE</w:t>
      </w:r>
    </w:p>
    <w:sectPr w:rsidR="00141BAB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24B" w:rsidRDefault="005B224B" w:rsidP="00052047">
      <w:r>
        <w:separator/>
      </w:r>
    </w:p>
  </w:endnote>
  <w:endnote w:type="continuationSeparator" w:id="0">
    <w:p w:rsidR="005B224B" w:rsidRDefault="005B224B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24B" w:rsidRDefault="005B224B" w:rsidP="00052047">
      <w:r>
        <w:separator/>
      </w:r>
    </w:p>
  </w:footnote>
  <w:footnote w:type="continuationSeparator" w:id="0">
    <w:p w:rsidR="005B224B" w:rsidRDefault="005B224B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91D20"/>
    <w:rsid w:val="002C6830"/>
    <w:rsid w:val="002D6395"/>
    <w:rsid w:val="002D7A78"/>
    <w:rsid w:val="002E3FD6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4C0"/>
    <w:rsid w:val="009C60C3"/>
    <w:rsid w:val="009C7CA3"/>
    <w:rsid w:val="009E303C"/>
    <w:rsid w:val="009F72F3"/>
    <w:rsid w:val="00A139AE"/>
    <w:rsid w:val="00A22338"/>
    <w:rsid w:val="00A2497B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81669"/>
    <w:rsid w:val="00B82573"/>
    <w:rsid w:val="00B83867"/>
    <w:rsid w:val="00B85B22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A41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2016-09-29T18:16:00Z</cp:lastPrinted>
  <dcterms:created xsi:type="dcterms:W3CDTF">2016-11-28T18:51:00Z</dcterms:created>
  <dcterms:modified xsi:type="dcterms:W3CDTF">2016-11-28T19:00:00Z</dcterms:modified>
</cp:coreProperties>
</file>