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479" w:end="0" w:hanging="0"/>
        <w:jc w:val="both"/>
        <w:outlineLvl w:val="0"/>
        <w:rPr>
          <w:rFonts w:cs="Arial"/>
          <w:b w:val="false"/>
          <w:b w:val="false"/>
          <w:bCs/>
          <w:color w:val="333333"/>
          <w:kern w:val="2"/>
        </w:rPr>
      </w:pPr>
      <w:r>
        <w:rPr>
          <w:rFonts w:cs="Arial"/>
          <w:b w:val="false"/>
          <w:bCs/>
          <w:color w:val="333333"/>
          <w:kern w:val="2"/>
        </w:rPr>
      </w:r>
    </w:p>
    <w:p>
      <w:pPr>
        <w:pStyle w:val="SemEspaamento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535" w:end="0" w:hanging="0"/>
        <w:jc w:val="both"/>
        <w:outlineLvl w:val="0"/>
        <w:rPr/>
      </w:pPr>
      <w:r>
        <w:rPr>
          <w:rFonts w:eastAsia="Arial Unicode MS" w:cs="Arial"/>
          <w:b w:val="false"/>
          <w:bCs/>
          <w:i w:val="false"/>
          <w:iCs w:val="false"/>
          <w:color w:val="00000A"/>
          <w:kern w:val="2"/>
          <w:sz w:val="24"/>
          <w:szCs w:val="24"/>
        </w:rPr>
        <w:t>Dispõe sobre a cobrança de Contribuição de Melhoria na execução de obras públicas que enumera.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479" w:end="0" w:hanging="0"/>
        <w:jc w:val="both"/>
        <w:outlineLvl w:val="0"/>
        <w:rPr>
          <w:rFonts w:cs="Arial"/>
          <w:b w:val="false"/>
          <w:b w:val="false"/>
          <w:bCs/>
          <w:color w:val="333333"/>
          <w:kern w:val="2"/>
        </w:rPr>
      </w:pPr>
      <w:r>
        <w:rPr>
          <w:rFonts w:cs="Arial"/>
          <w:b w:val="false"/>
          <w:bCs/>
          <w:color w:val="333333"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b w:val="false"/>
          <w:bCs w:val="false"/>
          <w:i w:val="false"/>
          <w:iCs w:val="false"/>
          <w:color w:val="00000A"/>
          <w:sz w:val="24"/>
          <w:szCs w:val="24"/>
        </w:rPr>
        <w:t>Art. 1</w:t>
      </w:r>
      <w:r>
        <w:rPr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b w:val="false"/>
          <w:bCs w:val="false"/>
          <w:i w:val="false"/>
          <w:iCs w:val="false"/>
          <w:color w:val="00000A"/>
          <w:sz w:val="24"/>
          <w:szCs w:val="24"/>
        </w:rPr>
        <w:t xml:space="preserve"> 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Em decorrência da execução, pelo Poder Executivo Municipal, da obra de pavimentação asfáltica na rua Antônio Gonçalves de Oliveira será cobrada a Contribuição de Melhoria, observados os seguintes critérios: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I – serão considerados beneficiados apenas os imóveis que possuam frente para as vias indicadas;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II – o valor da contribuição de melhoria terá como limite individual a valorização do imóvel beneficiado em decorrência da execução das obras, e como limite total a soma das valorizações, observado o percentual máximo de 70 % (setenta por cento) do custo final de cada obra.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ab/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Art. 2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Para cobrança da Contribuição de Melhoria, a Administração publicará edital prévio à execução das obras, contendo, entre outros elementos julgados convenientes, os seguintes: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I – delimitação das áreas diretamente beneficiadas e a relação dos proprietários de imóveis nelas compreendidos;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II – memorial descritivo do projeto para cada rua;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III – orçamento total ou parcial do custo de cada obra;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IV –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V – percentual de participação do Município, se for o caso;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VI – prazo e condições de pagamento, bem como, as datas de vencimento, o local onde o tributo deve ser pago e acréscimos incidentes;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VII – referência ao prazo para impugnação.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ab/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Art. 3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Após a conclusão, será publicado o demonstrativo do custo final de cada obra, seguindo-se o lançamento da Contribuição de Melhoria.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Parágrafo 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nico. No lançamento, sua notificação e demais aspectos não especificados nesta Lei, serão observados as normas e procedimentos estabelecidos na Lei Complementar nº 01/1991 (Código Tributário Municipal), que instituiu a Contribuição de Melhoria no Município de Três Passos/RS.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ab/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/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Art. 4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 Esta Lei entra em vigência em 90 dias a contar de sua publicação, produzindo efeitos a partir de 1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de janeiro de 2019, em observância ao princípio da anterioridade.</w:t>
      </w:r>
    </w:p>
    <w:p>
      <w:pPr>
        <w:pStyle w:val="Normal"/>
        <w:widowControl/>
        <w:bidi w:val="0"/>
        <w:ind w:start="0" w:end="0" w:hanging="0"/>
        <w:jc w:val="center"/>
        <w:rPr>
          <w:szCs w:val="24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/>
      </w:pPr>
      <w:r>
        <w:rPr>
          <w:szCs w:val="24"/>
        </w:rPr>
        <w:t>PL 4</w:t>
      </w:r>
      <w:r>
        <w:rPr>
          <w:szCs w:val="24"/>
        </w:rPr>
        <w:t>1</w:t>
      </w:r>
      <w:r>
        <w:rPr>
          <w:szCs w:val="24"/>
        </w:rPr>
        <w:t>/18.-</w:t>
        <w:tab/>
        <w:tab/>
        <w:tab/>
        <w:t xml:space="preserve">         PREFEITO MUNICIPAL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Recuodecorpodetexto2">
    <w:name w:val="Recuo de corpo de texto 2"/>
    <w:basedOn w:val="Normal"/>
    <w:qFormat/>
    <w:pPr>
      <w:ind w:start="3200" w:hanging="0"/>
      <w:jc w:val="both"/>
    </w:pPr>
    <w:rPr>
      <w:rFonts w:ascii="Arial" w:hAnsi="Arial" w:cs="Arial"/>
      <w:b/>
      <w:sz w:val="32"/>
      <w:lang w:val="pt-BR"/>
    </w:rPr>
  </w:style>
  <w:style w:type="paragraph" w:styleId="SemEspaamento">
    <w:name w:val="Sem Espaçamento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3799-6F7D-42A5-8C68-C79467DB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LibreOffice/5.4.7.2$Windows_X86_64 LibreOffice_project/c838ef25c16710f8838b1faec480ebba495259d0</Application>
  <Pages>1</Pages>
  <Words>422</Words>
  <Characters>2292</Characters>
  <CharactersWithSpaces>2721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2018-09-18T10:28:02Z</cp:lastPrinted>
  <dcterms:modified xsi:type="dcterms:W3CDTF">2018-09-18T10:27:48Z</dcterms:modified>
  <cp:revision>33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