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SemEspaamento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535" w:end="0" w:hanging="0"/>
        <w:jc w:val="both"/>
        <w:outlineLvl w:val="0"/>
        <w:rPr/>
      </w:pPr>
      <w:r>
        <w:rPr>
          <w:rFonts w:eastAsia="Arial Unicode MS" w:cs="Arial"/>
          <w:b w:val="false"/>
          <w:bCs/>
          <w:i w:val="false"/>
          <w:iCs w:val="false"/>
          <w:color w:val="00000A"/>
          <w:kern w:val="2"/>
          <w:sz w:val="24"/>
          <w:szCs w:val="24"/>
        </w:rPr>
        <w:t>Autoriza o Poder Executivo a proceder na alienação onerosa dos bens móveis inservíveis, obsoletos ou antieconômicos.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4"/>
          <w:szCs w:val="24"/>
        </w:rPr>
        <w:t>Art. 1</w:t>
      </w:r>
      <w:r>
        <w:rPr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b w:val="false"/>
          <w:bCs w:val="false"/>
          <w:i w:val="false"/>
          <w:iCs w:val="false"/>
          <w:color w:val="00000A"/>
          <w:sz w:val="24"/>
          <w:szCs w:val="24"/>
        </w:rPr>
        <w:t xml:space="preserve"> 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Fica o Poder Executivo autorizado a realizar a venda, através de leilão, dos bens de propriedade do Município, como máquinas, equipamentos, móveis, veículos, entre outros, considerados inservíveis, obsoletos ou antieconômicos para o uso do Município e que possuam algum valor comercial, conforme anexo I que faz parte integrante desta Lei.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 Os bens ora descritos serão vendidos mediante procedimento licitatório, na modalidade leilão, por preço não inferior ao da avaliação, a ser realizada por empresa contratada para esta finalidade, nos termos da Lei 8.666/93 e demais leis posteriores.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3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 A venda será feita por Servidor Público Municipal, conforme faculta o art. 53 da Lei 8.666/93.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4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strike w:val="false"/>
          <w:dstrike w:val="false"/>
          <w:color w:val="00000A"/>
          <w:sz w:val="24"/>
          <w:szCs w:val="24"/>
          <w:highlight w:val="white"/>
        </w:rPr>
        <w:t xml:space="preserve"> 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Esta lei entra em vigor na data de sua publicaç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ão.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center"/>
        <w:rPr/>
      </w:pPr>
      <w:r>
        <w:rPr>
          <w:szCs w:val="24"/>
        </w:rPr>
        <w:t>PREFEITO MUNICIPAL</w:t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center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center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/>
      </w:pPr>
      <w:r>
        <w:rPr>
          <w:szCs w:val="24"/>
        </w:rPr>
        <w:t>PL 4</w:t>
      </w:r>
      <w:r>
        <w:rPr>
          <w:szCs w:val="24"/>
        </w:rPr>
        <w:t>9</w:t>
      </w:r>
      <w:r>
        <w:rPr>
          <w:szCs w:val="24"/>
        </w:rPr>
        <w:t>/18.-</w:t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ANEXO I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tbl>
      <w:tblPr>
        <w:tblW w:w="8869" w:type="dxa"/>
        <w:jc w:val="start"/>
        <w:tblInd w:w="-75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65" w:type="dxa"/>
          <w:bottom w:w="0" w:type="dxa"/>
          <w:end w:w="70" w:type="dxa"/>
        </w:tblCellMar>
      </w:tblPr>
      <w:tblGrid>
        <w:gridCol w:w="663"/>
        <w:gridCol w:w="2809"/>
        <w:gridCol w:w="5397"/>
      </w:tblGrid>
      <w:tr>
        <w:trPr>
          <w:trHeight w:val="173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Lote</w:t>
            </w:r>
          </w:p>
        </w:tc>
        <w:tc>
          <w:tcPr>
            <w:tcW w:w="2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Título</w:t>
            </w:r>
          </w:p>
        </w:tc>
        <w:tc>
          <w:tcPr>
            <w:tcW w:w="5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Descrição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Materiais de informática em geral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Monitores, teclados, CPUs, caixas de som amplificadas e máquinas de escrever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Mobílias diversas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Mesas, cadeiras e cadeiras e carteiras escolares em geral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Móveis diversos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Armários de madeira, birôs, estantes metálicas, arquivos de aço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Eletrodomésticos e refrigeração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fornos, geladeiras, refrigeração, ventiladores, bombas, roçadeiras, liquidificadores, lavadouras de roupa, etc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Equipamentos Hospitalares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Aparelho cirúrgico aspirador à vácuo, autoclave 12L, 3 cadeiras de rodas hospitalares, carro de emergência, conjunto odontológico DAB Atlantis, 2 eletrocardiógrafos ECAFIX, incubadora eletrônica pediátrica, 3 focos clínicos, 2 macas ginecológicas, mesa cirúrgica, miniscópio cardíaco INSTRAMED, 2 negatoscópio, 2 seletoras hospitalares e suporte para braço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Sucatas de carrinhos de bebê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Carrinhos de bebê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Sucatas de móveis de madeira em geral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Sucatas de móveis de madeira em geral e ferro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Sucatas de tonner’s e cartuchos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Sucatas de tonner’s e cartuchos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Carcaças de pneus Aro 20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a) 900x20 Comuns: 16.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b) 1000x20 Radiais: 65;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c) 1000x20 Comuns: 31;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Carcaças de pneus Aro 24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a)16,9x24 Comuns: 01;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b)19,5x24 Comuns: 04;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c)1400x24 Comuns: 27.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Carcaças de penus Aro 25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17,5x25 Comuns: 10.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Carcaças de pneus Aro 17,5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9x17,5 Comuns: 24.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Carcaças de pneus Agrícola Aro 34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18,4x34 Comuns: 02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Carcaças de pneus Agrícola Aro 26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14,9x26 Comuns: 06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2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Carcaças de pneus Agrícola Aro 24</w:t>
            </w:r>
          </w:p>
        </w:tc>
        <w:tc>
          <w:tcPr>
            <w:tcW w:w="5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14,9x24 Comuns: 02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2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Carcaças de pneus inservíveis</w:t>
            </w:r>
          </w:p>
        </w:tc>
        <w:tc>
          <w:tcPr>
            <w:tcW w:w="5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Carcaças de pneus inservíveis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</w:t>
            </w:r>
          </w:p>
        </w:tc>
        <w:tc>
          <w:tcPr>
            <w:tcW w:w="2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SPIN 1.8L MT LTZ</w:t>
            </w:r>
          </w:p>
        </w:tc>
        <w:tc>
          <w:tcPr>
            <w:tcW w:w="5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Placa IVW-5490, Ano 2014/2015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2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SPIN 1.8L MT LTZ</w:t>
            </w:r>
          </w:p>
        </w:tc>
        <w:tc>
          <w:tcPr>
            <w:tcW w:w="5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Placa IVW-5487, Ano 2014/2015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2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VW KOMBI </w:t>
            </w:r>
          </w:p>
        </w:tc>
        <w:tc>
          <w:tcPr>
            <w:tcW w:w="5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PLACA IPQ-3306, ANO 2009/2009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FORD TRANSIT TCA AMB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PLACA ISJ-1785, ANO 2011/2011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FIAT UNO MILLE FIRE FLEX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PLACA IOR-9161, 2008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280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SPIN 1.8L MT LTZ</w:t>
            </w:r>
          </w:p>
        </w:tc>
        <w:tc>
          <w:tcPr>
            <w:tcW w:w="5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65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PLACA IVW-5491, 2014/2015</w:t>
            </w:r>
          </w:p>
        </w:tc>
      </w:tr>
    </w:tbl>
    <w:p>
      <w:pPr>
        <w:pStyle w:val="Normal"/>
        <w:rPr>
          <w:szCs w:val="24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Recuodecorpodetexto2">
    <w:name w:val="Recuo de corpo de texto 2"/>
    <w:basedOn w:val="Normal"/>
    <w:qFormat/>
    <w:pPr>
      <w:ind w:start="3200" w:hanging="0"/>
      <w:jc w:val="both"/>
    </w:pPr>
    <w:rPr>
      <w:rFonts w:ascii="Arial" w:hAnsi="Arial" w:cs="Arial"/>
      <w:b/>
      <w:sz w:val="32"/>
      <w:lang w:val="pt-BR"/>
    </w:rPr>
  </w:style>
  <w:style w:type="paragraph" w:styleId="SemEspaamento">
    <w:name w:val="Sem Espaçamento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3799-6F7D-42A5-8C68-C79467DB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Application>LibreOffice/5.4.7.2$Windows_X86_64 LibreOffice_project/c838ef25c16710f8838b1faec480ebba495259d0</Application>
  <Pages>2</Pages>
  <Words>508</Words>
  <Characters>2758</Characters>
  <CharactersWithSpaces>3185</CharactersWithSpaces>
  <Paragraphs>87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2018-09-18T10:33:42Z</cp:lastPrinted>
  <dcterms:modified xsi:type="dcterms:W3CDTF">2018-09-18T10:33:32Z</dcterms:modified>
  <cp:revision>35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