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0B5C2C">
        <w:t>09:55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0B5C2C">
      <w:proofErr w:type="spellStart"/>
      <w:r>
        <w:t>Ilani</w:t>
      </w:r>
      <w:proofErr w:type="spellEnd"/>
      <w:r>
        <w:t xml:space="preserve"> Clair </w:t>
      </w:r>
      <w:proofErr w:type="spellStart"/>
      <w:r>
        <w:t>Battú</w:t>
      </w:r>
      <w:proofErr w:type="spellEnd"/>
    </w:p>
    <w:p w:rsidR="0039594E" w:rsidRDefault="00B907C9">
      <w:r>
        <w:t xml:space="preserve">CPF: </w:t>
      </w:r>
      <w:r w:rsidR="000B5C2C">
        <w:t>564854920-20</w:t>
      </w:r>
    </w:p>
    <w:p w:rsidR="0039594E" w:rsidRDefault="009C0EBA">
      <w:r>
        <w:t xml:space="preserve">RG: </w:t>
      </w:r>
      <w:r w:rsidR="000B5C2C">
        <w:t>1045298229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0B5C2C">
        <w:t xml:space="preserve">Rua Antônio Carlos nº 22 Apto 302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CD6" w:rsidRDefault="00CF1CD6">
      <w:r>
        <w:separator/>
      </w:r>
    </w:p>
  </w:endnote>
  <w:endnote w:type="continuationSeparator" w:id="0">
    <w:p w:rsidR="00CF1CD6" w:rsidRDefault="00CF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CD6" w:rsidRDefault="00CF1CD6">
      <w:r>
        <w:separator/>
      </w:r>
    </w:p>
  </w:footnote>
  <w:footnote w:type="continuationSeparator" w:id="0">
    <w:p w:rsidR="00CF1CD6" w:rsidRDefault="00CF1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B5C2C"/>
    <w:rsid w:val="0039594E"/>
    <w:rsid w:val="003D2AA6"/>
    <w:rsid w:val="00890906"/>
    <w:rsid w:val="009C0EBA"/>
    <w:rsid w:val="009E1186"/>
    <w:rsid w:val="00B13693"/>
    <w:rsid w:val="00B907C9"/>
    <w:rsid w:val="00C20A90"/>
    <w:rsid w:val="00CF1CD6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C884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2018-10-10T12:42:00Z</cp:lastPrinted>
  <dcterms:created xsi:type="dcterms:W3CDTF">2018-10-10T13:23:00Z</dcterms:created>
  <dcterms:modified xsi:type="dcterms:W3CDTF">2018-10-10T13:23:00Z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