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Autoriza o Poder Executivo Municipal a proceder na contratação emergencial de 01 (um) profissional da área de musicalização.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Fica o Poder Executivo autorizado a contratar, em caráter emergencial, para atender necessidade temporária e por total interesse do serviço público, conforme inciso IX do artigo 37 da Constituição Federal, 01 (um) profissional da área de musicalização para atuar no Município.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O contrato será regido pelo sistema “Administrativo” e terá vigência de 01 (um) ano, a contar da data de sua assinatura, podendo ser renovado por igual período.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A carga horária do contrato será de 200 (duzentas) horas mensais.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A remuneração do profissional da área de musicalização de que trata esta lei será a mesma que a prevista no Plano de Cargos e Funções, Padrão 04 (Lei Municipal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4.427 de 29 de outubro de 2010).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4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 profissional contratado com base nesta lei terá seus direitos e obrigações conforme estabelecido no Plano de Cargos e Funções e Estatuto dos Funcionários Públicos Municipais.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Para o exercício da função de que trata esta lei, o profissional deverá possuir ensino fundamental completo e experiência comprovada.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Os candidatos ao preenchimento das vagas previstas nesta Lei serão selecionados por Processo Seletivo Simplificado, com aplicação de prova, a cargo da Secretaria Municipal de Administração.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4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As despesas decorrentes da presente lei correrão à conta das seguintes dotações orçamentárias: 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Entidade: 1 - PREFEITURA MUNICIPAL DE TRES PASSOS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Órgão: 08 Secretaria Municipal de Educação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Unidade: 07 Setor de Cultura e Turismo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Proj./Ativ. 2.092 Manutenção do Funcionalismo da Cultura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3.1.90.11.00.00.00.00 0001 Vencimentos e Vantagens Fixas - Pessoal Civil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 xml:space="preserve">3.1.90.13.00.00.00.00 0001 Obrigações Patronais 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5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Esta lei entra em vigor na data de sua publicação.</w:t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rFonts w:cs="Arial"/>
          <w:highlight w:val="white"/>
        </w:rPr>
        <w:t>P</w:t>
      </w:r>
      <w:r>
        <w:rPr>
          <w:rFonts w:cs="Arial"/>
          <w:highlight w:val="white"/>
        </w:rPr>
        <w:t xml:space="preserve">L </w:t>
      </w:r>
      <w:r>
        <w:rPr>
          <w:rFonts w:cs="Arial"/>
          <w:highlight w:val="white"/>
        </w:rPr>
        <w:t>70</w:t>
      </w:r>
      <w:r>
        <w:rPr>
          <w:rFonts w:cs="Arial"/>
          <w:highlight w:val="white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Application>LibreOffice/5.4.7.2$Windows_X86_64 LibreOffice_project/c838ef25c16710f8838b1faec480ebba495259d0</Application>
  <Pages>1</Pages>
  <Words>372</Words>
  <Characters>2009</Characters>
  <CharactersWithSpaces>2369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2018-11-06T16:09:15Z</cp:lastPrinted>
  <dcterms:modified xsi:type="dcterms:W3CDTF">2018-11-06T16:01:04Z</dcterms:modified>
  <cp:revision>83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