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>
          <w:bCs w:val="false"/>
        </w:rPr>
      </w:pPr>
      <w:r>
        <w:rPr>
          <w:bCs w:val="false"/>
        </w:rPr>
        <w:t>LEI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__________, DE ____ DE ________________ DE 2018</w:t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left" w:pos="3544" w:leader="none"/>
        </w:tabs>
        <w:ind w:start="4479" w:hanging="0"/>
        <w:jc w:val="both"/>
        <w:outlineLvl w:val="0"/>
        <w:rPr>
          <w:rFonts w:cs="Arial"/>
          <w:bCs/>
          <w:color w:val="333333"/>
          <w:kern w:val="2"/>
        </w:rPr>
      </w:pPr>
      <w:r>
        <w:rPr>
          <w:rFonts w:cs="Arial"/>
          <w:bCs/>
          <w:color w:val="333333"/>
          <w:kern w:val="2"/>
        </w:rPr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left" w:pos="3544" w:leader="none"/>
        </w:tabs>
        <w:ind w:start="4479" w:hanging="0"/>
        <w:jc w:val="both"/>
        <w:outlineLvl w:val="0"/>
        <w:rPr/>
      </w:pPr>
      <w:r>
        <w:rPr>
          <w:rFonts w:eastAsia="Arial Unicode MS" w:cs="Arial"/>
          <w:bCs/>
          <w:kern w:val="2"/>
        </w:rPr>
        <w:t>Estima a receita e fixa a despesa do Município de Três Passos para o exercício financeiro de 2019.</w:t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left" w:pos="3544" w:leader="none"/>
        </w:tabs>
        <w:ind w:start="4479" w:hanging="0"/>
        <w:jc w:val="both"/>
        <w:outlineLvl w:val="0"/>
        <w:rPr>
          <w:rFonts w:eastAsia="Arial Unicode MS" w:cs="Arial"/>
          <w:bCs/>
          <w:kern w:val="2"/>
        </w:rPr>
      </w:pPr>
      <w:r>
        <w:rPr>
          <w:rFonts w:eastAsia="Arial Unicode MS" w:cs="Arial"/>
          <w:bCs/>
          <w:kern w:val="2"/>
        </w:rPr>
      </w:r>
    </w:p>
    <w:p>
      <w:pPr>
        <w:pStyle w:val="Normal"/>
        <w:tabs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Art. 1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 Esta Lei estima a receita e fixa a despesa do Município de Três Passos para o exercício financeiro de 2019, referentes aos Poderes Executivo e Legislativo do Município, seus fundos, órgãos e entidades da Administração Indireta, compreendendo o orçamento fiscal, o orçamento da seguridade social e orçamento de investimento.</w:t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§ 1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 Constituem anexos e fazem parte desta Lei:</w:t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I - Metodologia e premissa de cálculos realizados, nos termos do que dispõe o art. 12 da Lei Complementar n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101, de 2000 (LRF);</w:t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II - Descrição sucinta de cada unidade administrativa e de suas principais finalidades com indicação da respectiva legislação (parágrafo único do art. 22 da Lei no 4.320, de 1964);</w:t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III - Quadro discriminativo da receita por fontes e respectiva legislação (inciso III, do § 1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>, do art. 2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 da Lei n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4.320, de 1964);</w:t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IV – Relação de compromissos (convênios e contratos) firmados para 2019 com os respectivos créditos orçamentários;</w:t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 xml:space="preserve">V – Relação de Precatórios à pagar em 2019 com os respectivos créditos orçamentários; </w:t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VI – Anexos orçamentários 1, 2, 6, 7, 8 e 9 da lei 4.320 de 1964;</w:t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VII – Demonstrativo da evolução da receita, por origem de arrecadação, em atendimento ao disposto no art. 22 da LC n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101/2000; </w:t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VIII – Demonstrativo da estimativa e compensação da renúncia da receita e da margem de expansão das despesas obrigatórias de caráter continuado, de acordo com o art. 5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>, inciso II, da LC n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101/2000;</w:t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IX – Demonstrativo da receita e planos de aplicação dos Fundos Especiais, que obedecerá ao disposto no inciso I do § 2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>, art. 2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da lei Federal n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4.320/1964;</w:t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X – Demonstrativo da fixação da despesa com pessoal e encargos sociais, para os Poderes Executivo e Legislativo, confrontando a sua totalização com a receita corrente líquida prevista, nos termos dos artigos 19 e 20 da LC n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101/2000;</w:t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XI – Demonstrativo da previsão de aplicação das aplicações na Manutenção e Desenvolvimento do Ensino (MDE) e do Fundo de Manutenção e Desenvolvimento da Educação Básica e da Valorização dos Profissionais da Educação (FUNDEB);</w:t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 xml:space="preserve">XII – Demonstrativo da previsão da aplicação anual do Município em Ações e Serviços Públicos de Saúde (ASPS), conforme a Lei Complementar n 141, de 13 de janeiro de 2012; </w:t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XIII – Demonstrativo das categorias de programação a serem financiadas com recursos de operações de crédito realizadas e a realizar, com indicação de dotação e do orçamento a que pertencem;</w:t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XIV – Demonstrativo do cálculo do limite máximo de despesas para a Câmara Municipal, conforme o artigo 29-A da Constituição Federal;</w:t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XV – Demonstrativo de compatibilidade da programação do orçamento com as metas fiscais estabelecidas na LDO, de acordo com o art. 5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>, inciso I, da LC n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101/2000. </w:t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 xml:space="preserve">XVI – Demonstrativo do limite de gastos administrativos do Regime Próprio de Previdência. </w:t>
      </w:r>
    </w:p>
    <w:p>
      <w:pPr>
        <w:pStyle w:val="Normal"/>
        <w:ind w:firstLine="850"/>
        <w:jc w:val="both"/>
        <w:rPr>
          <w:rFonts w:cs="Arial"/>
          <w:highlight w:val="white"/>
        </w:rPr>
      </w:pPr>
      <w:r>
        <w:rPr/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 xml:space="preserve"> </w:t>
      </w:r>
      <w:r>
        <w:rPr>
          <w:rFonts w:cs="Arial"/>
          <w:highlight w:val="white"/>
        </w:rPr>
        <w:t>Art. 2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O Orçamento do Município, em obediência ao princípio do equilíbrio das contas públicas de que trata a Lei Complementar n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101, de 2000, art. 1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>, § 1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>, fica estabelecido em igual valor entre a receita estimada e a soma da despesa fixada acrescida da(s) reserva(s) de contingência(s).</w:t>
      </w:r>
    </w:p>
    <w:p>
      <w:pPr>
        <w:pStyle w:val="Normal"/>
        <w:ind w:firstLine="850"/>
        <w:jc w:val="both"/>
        <w:rPr>
          <w:rFonts w:cs="Arial"/>
          <w:highlight w:val="white"/>
        </w:rPr>
      </w:pPr>
      <w:r>
        <w:rPr/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Art. 3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Considerar-se-á créditos adicionais especiais, para efeitos desta Lei, e em conformidade com a Portaria n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163, de 2001, art. 6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, da Secretaria do Tesouro Nacional o crédito orçamentário criado em nível de elemento de despesa. </w:t>
      </w:r>
    </w:p>
    <w:p>
      <w:pPr>
        <w:pStyle w:val="Normal"/>
        <w:ind w:firstLine="850"/>
        <w:jc w:val="both"/>
        <w:rPr>
          <w:rFonts w:cs="Arial"/>
          <w:highlight w:val="white"/>
        </w:rPr>
      </w:pPr>
      <w:r>
        <w:rPr/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Art. 4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Fica o Poder Executivo autorizado a abrir créditos suplementares, por Decreto, na Administração Direta e Indireta, observados os arts. 8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>, 9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e 13 da Lei Complementar n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101, de 2000, mediante a utilização dos recursos:</w:t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I) da anulação parcial ou total de dotações orçamentárias, nos termos do art. 43, § 1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>, inciso III, da Lei n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4.320, de 17 de março de 1964, até o limite de 20% (vinte por cento) do somatório da receita total projetada, inclusive a previsão adicional (reestimativa), ou despesa fixada no caso de entidades que não possuam receitas próprias;</w:t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II) da Reserva de Contingência, com valores específicos para este fim no anexo de riscos fiscais;</w:t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III) de excesso de arrecadação proveniente de receitas livres ou vinculadas arrecadadas e a arrecadar, desde que para alocação nos mesmos créditos orçamentários em que os recursos dessas fontes foram originalmente programados;</w:t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IV) superávit financeiro apurado em balanço do exercício anterior, de acordo com as vinculações originais.</w:t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§ 1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O limite para a abertura de créditos suplementares de que trata este artigo, no inciso I, é autorizado individualmente para a administração direta e para cada entidade da administração indireta e Regime Próprio de Previdência Social.</w:t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§ 2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Poderão ser utilizadas, para efeitos de créditos adicionais, reduções de valores atribuídos a créditos orçamentários de diferentes unidades gestoras do orçamento (administração direta e indireta), sendo que os créditos adicionais especiais </w:t>
      </w:r>
      <w:r>
        <w:rPr>
          <w:rFonts w:cs="Arial"/>
          <w:highlight w:val="white"/>
        </w:rPr>
        <w:t>e adicionais suplementares</w:t>
      </w:r>
      <w:r>
        <w:rPr>
          <w:rFonts w:cs="Arial"/>
          <w:highlight w:val="white"/>
        </w:rPr>
        <w:t xml:space="preserve"> que envolvam o Poder Legislativo </w:t>
      </w:r>
      <w:r>
        <w:rPr>
          <w:rFonts w:cs="Arial"/>
          <w:highlight w:val="white"/>
        </w:rPr>
        <w:t>e Administração Indireta</w:t>
      </w:r>
      <w:r>
        <w:rPr>
          <w:rFonts w:cs="Arial"/>
          <w:highlight w:val="white"/>
        </w:rPr>
        <w:t xml:space="preserve"> deverão possuir autorização expressa daquele Poder.</w:t>
      </w:r>
    </w:p>
    <w:p>
      <w:pPr>
        <w:pStyle w:val="Normal"/>
        <w:ind w:firstLine="850"/>
        <w:jc w:val="both"/>
        <w:rPr>
          <w:rFonts w:cs="Arial"/>
          <w:highlight w:val="white"/>
        </w:rPr>
      </w:pPr>
      <w:r>
        <w:rPr/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Art. 5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Os limites autorizados no artigo 4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não serão onerados quando o crédito suplementar se destinar a atender:</w:t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I) Insuficiências de dotações do Grupo de Natureza da Despesa 1 — Pessoal e Encargos Sociais, mediante a utilização de recursos oriundos de anulação de despesas consignadas ao mesmo grupo, apurados decreto a decreto;</w:t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II) Pagamento de despesas decorrentes de precatórios judiciais, amortização, juros e encargos da dívida;</w:t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III) Despesas financiadas com recursos provenientes de operações de crédito, alienação de bens e transferências voluntárias da União e do Estado.</w:t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IV) Utilização dos recursos da reserva de contingência referenciada no art. 14, incisos I e II, da Lei n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 5.</w:t>
      </w:r>
      <w:r>
        <w:rPr>
          <w:rFonts w:cs="Arial"/>
          <w:highlight w:val="white"/>
        </w:rPr>
        <w:t>370</w:t>
      </w:r>
      <w:r>
        <w:rPr>
          <w:rFonts w:cs="Arial"/>
          <w:highlight w:val="white"/>
        </w:rPr>
        <w:t xml:space="preserve"> de </w:t>
      </w:r>
      <w:r>
        <w:rPr>
          <w:rFonts w:cs="Arial"/>
          <w:highlight w:val="white"/>
        </w:rPr>
        <w:t>11</w:t>
      </w:r>
      <w:r>
        <w:rPr>
          <w:rFonts w:cs="Arial"/>
          <w:highlight w:val="white"/>
        </w:rPr>
        <w:t xml:space="preserve"> de setembro de 201</w:t>
      </w:r>
      <w:r>
        <w:rPr>
          <w:rFonts w:cs="Arial"/>
          <w:highlight w:val="white"/>
        </w:rPr>
        <w:t>8</w:t>
      </w:r>
      <w:r>
        <w:rPr>
          <w:rFonts w:cs="Arial"/>
          <w:highlight w:val="white"/>
        </w:rPr>
        <w:t xml:space="preserve"> – LDO para o exercício de 201</w:t>
      </w:r>
      <w:r>
        <w:rPr>
          <w:rFonts w:cs="Arial"/>
          <w:highlight w:val="white"/>
        </w:rPr>
        <w:t>9</w:t>
      </w:r>
      <w:r>
        <w:rPr>
          <w:rFonts w:cs="Arial"/>
          <w:highlight w:val="white"/>
        </w:rPr>
        <w:t>;</w:t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V) Alteração de elemento de despesa, dentro do mesmo projeto, atividade ou operação especial, respeitada a categoria econômica da despesa e o grupo de natureza de despesa originais;</w:t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VI) Quando a fonte de recurso seja superávit financeiro do exercício de 2018 devidamente apurado em balanço patrimonial, respeitada a fonte de recursos correspondente;</w:t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VII) Quando a fonte de recurso seja o excesso de arrecadação, apurado por fonte de recursos;</w:t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VIII) Quando se tratar de alteração de fonte de recurso vinculado e/ou modalidade de aplicação, nos termos do art. 31 da Lei n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5.370 de 11 de setembro de 2018 – LDO para o exercício de 2019.</w:t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Parágrafo único. As disposições dos incisos II, III, IV, VI, VII e VIII não se aplicam ao Poder Legislativo.</w:t>
      </w:r>
    </w:p>
    <w:p>
      <w:pPr>
        <w:pStyle w:val="Normal"/>
        <w:ind w:firstLine="850"/>
        <w:jc w:val="both"/>
        <w:rPr>
          <w:rFonts w:cs="Arial"/>
          <w:highlight w:val="white"/>
        </w:rPr>
      </w:pPr>
      <w:r>
        <w:rPr/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Art. 6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Fica o Poder Executivo autorizado a realizar operações de crédito por antecipação de receita orçamentária no decorrer do exercício, atendidas as disposições do art. 38 da Lei Complementar n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101, de 2000 e Resoluções do Senado Federal que dispõem sobre a matéria.</w:t>
      </w:r>
    </w:p>
    <w:p>
      <w:pPr>
        <w:pStyle w:val="Normal"/>
        <w:ind w:firstLine="850"/>
        <w:jc w:val="both"/>
        <w:rPr>
          <w:rFonts w:cs="Arial"/>
          <w:highlight w:val="white"/>
        </w:rPr>
      </w:pPr>
      <w:r>
        <w:rPr/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Art.7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Fica o Poder Executivo autorizado a realizar operações de crédito, observados os preceitos legais aplicáveis à matéria.</w:t>
      </w:r>
    </w:p>
    <w:p>
      <w:pPr>
        <w:pStyle w:val="Normal"/>
        <w:ind w:firstLine="850"/>
        <w:jc w:val="both"/>
        <w:rPr>
          <w:rFonts w:cs="Arial"/>
          <w:highlight w:val="white"/>
        </w:rPr>
      </w:pPr>
      <w:r>
        <w:rPr/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Art. 8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O Prefeito Municipal, nos termos do que dispuser a Lei de Diretrizes Orçamentárias, poderá adotar mecanismos para utilização das dotações, de forma a compatibilizar as despesas à efetiva realização das receitas.</w:t>
      </w:r>
    </w:p>
    <w:p>
      <w:pPr>
        <w:pStyle w:val="Normal"/>
        <w:ind w:firstLine="850"/>
        <w:jc w:val="both"/>
        <w:rPr>
          <w:rFonts w:cs="Arial"/>
          <w:highlight w:val="white"/>
        </w:rPr>
      </w:pPr>
      <w:r>
        <w:rPr/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Art. 9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Esta lei entra em vigor na data de sua publicação.</w:t>
      </w:r>
    </w:p>
    <w:p>
      <w:pPr>
        <w:pStyle w:val="Normal"/>
        <w:widowControl/>
        <w:bidi w:val="0"/>
        <w:ind w:start="850" w:end="0" w:hanging="0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widowControl/>
        <w:bidi w:val="0"/>
        <w:ind w:start="850" w:end="0" w:hanging="0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widowControl/>
        <w:bidi w:val="0"/>
        <w:ind w:start="850" w:end="0" w:hanging="0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jc w:val="center"/>
        <w:rPr/>
      </w:pPr>
      <w:r>
        <w:rPr/>
        <w:t>PREFEITO MUNICIPAL</w:t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widowControl/>
        <w:bidi w:val="0"/>
        <w:ind w:start="0" w:end="0" w:hanging="0"/>
        <w:jc w:val="both"/>
        <w:rPr/>
      </w:pPr>
      <w:r>
        <w:rPr>
          <w:rFonts w:cs="Arial"/>
          <w:highlight w:val="white"/>
        </w:rPr>
        <w:t>PL 7</w:t>
      </w:r>
      <w:r>
        <w:rPr>
          <w:rFonts w:cs="Arial"/>
          <w:highlight w:val="white"/>
        </w:rPr>
        <w:t>1</w:t>
      </w:r>
      <w:r>
        <w:rPr>
          <w:rFonts w:cs="Arial"/>
          <w:highlight w:val="white"/>
        </w:rPr>
        <w:t>/18.-</w:t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 Unicode MS">
    <w:charset w:val="00" w:characterSet="windows-1252"/>
    <w:family w:val="roman"/>
    <w:pitch w:val="variable"/>
  </w:font>
  <w:font w:name="FGOUYJ+RotisSemiSerif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4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ListLabel1" w:customStyle="1">
    <w:name w:val="ListLabel 1"/>
    <w:qFormat/>
    <w:rPr>
      <w:b/>
      <w:i w:val="false"/>
      <w:sz w:val="22"/>
    </w:rPr>
  </w:style>
  <w:style w:type="character" w:styleId="ListLabel2" w:customStyle="1">
    <w:name w:val="ListLabel 2"/>
    <w:qFormat/>
    <w:rPr>
      <w:b/>
      <w:u w:val="single"/>
    </w:rPr>
  </w:style>
  <w:style w:type="character" w:styleId="ListLabel3" w:customStyle="1">
    <w:name w:val="ListLabel 3"/>
    <w:qFormat/>
    <w:rPr>
      <w:b/>
      <w:i w:val="false"/>
    </w:rPr>
  </w:style>
  <w:style w:type="character" w:styleId="ListLabel4" w:customStyle="1">
    <w:name w:val="ListLabel 4"/>
    <w:qFormat/>
    <w:rPr>
      <w:rFonts w:eastAsia="Calibri" w:cs="Arial"/>
      <w:b/>
    </w:rPr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link w:val="RecuodecorpodetextoChar"/>
    <w:pPr>
      <w:ind w:start="-180" w:hanging="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ind w:start="3200" w:hanging="0"/>
      <w:jc w:val="both"/>
    </w:pPr>
    <w:rPr>
      <w:rFonts w:ascii="Arial" w:hAnsi="Arial" w:cs="Arial"/>
      <w:b/>
      <w:sz w:val="32"/>
    </w:rPr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star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/>
      <w:jc w:val="star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star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star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SemEspaamento">
    <w:name w:val="Sem Espaçamento"/>
    <w:qFormat/>
    <w:pPr>
      <w:widowControl/>
      <w:tabs>
        <w:tab w:val="left" w:pos="1701" w:leader="none"/>
      </w:tabs>
      <w:suppressAutoHyphens w:val="true"/>
      <w:bidi w:val="0"/>
      <w:jc w:val="both"/>
    </w:pPr>
    <w:rPr>
      <w:rFonts w:ascii="Arial" w:hAnsi="Arial" w:eastAsia="Times New Roman" w:cs="Arial"/>
      <w:color w:val="00000A"/>
      <w:kern w:val="0"/>
      <w:sz w:val="22"/>
      <w:szCs w:val="20"/>
      <w:lang w:val="pt-BR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1FFF2-A97E-4F09-8B7F-11C0CFC31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670</TotalTime>
  <Application>LibreOffice/5.4.7.2$Windows_X86_64 LibreOffice_project/c838ef25c16710f8838b1faec480ebba495259d0</Application>
  <Pages>3</Pages>
  <Words>1235</Words>
  <Characters>6496</Characters>
  <CharactersWithSpaces>7713</CharactersWithSpaces>
  <Paragraphs>50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2018-06-19T12:42:00Z</dcterms:created>
  <dc:creator>CAMARA MUNICIPAL DE VEREADORES DE TRES PASSOS</dc:creator>
  <dc:description/>
  <dc:language>pt-BR</dc:language>
  <cp:lastModifiedBy/>
  <cp:lastPrinted>2018-11-30T09:26:20Z</cp:lastPrinted>
  <dcterms:modified xsi:type="dcterms:W3CDTF">2018-11-30T09:25:40Z</dcterms:modified>
  <cp:revision>93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