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bCs w:val="false"/>
        </w:rPr>
      </w:pPr>
      <w:r>
        <w:rPr>
          <w:bCs w:val="false"/>
        </w:rPr>
        <w:t>LEI MUNICIPAL N</w:t>
      </w:r>
      <w:r>
        <w:rPr>
          <w:bCs w:val="false"/>
          <w:strike/>
        </w:rPr>
        <w:t>º</w:t>
      </w:r>
      <w:r>
        <w:rPr>
          <w:bCs w:val="false"/>
        </w:rPr>
        <w:t xml:space="preserve"> __________, DE ____ DE ________________ DE 2018</w:t>
      </w:r>
    </w:p>
    <w:p>
      <w:pPr>
        <w:pStyle w:val="Normal"/>
        <w:numPr>
          <w:ilvl w:val="0"/>
          <w:numId w:val="0"/>
        </w:numPr>
        <w:shd w:val="clear" w:color="auto" w:fill="FFFFFF"/>
        <w:tabs>
          <w:tab w:val="left" w:pos="3544" w:leader="none"/>
        </w:tabs>
        <w:ind w:start="4479" w:hanging="0"/>
        <w:jc w:val="both"/>
        <w:outlineLvl w:val="0"/>
        <w:rPr>
          <w:rFonts w:eastAsia="Arial Unicode MS" w:cs="Arial"/>
          <w:bCs/>
          <w:kern w:val="2"/>
        </w:rPr>
      </w:pPr>
      <w:r>
        <w:rPr>
          <w:rFonts w:eastAsia="Arial Unicode MS" w:cs="Arial"/>
          <w:bCs/>
          <w:kern w:val="2"/>
        </w:rPr>
      </w:r>
    </w:p>
    <w:p>
      <w:pPr>
        <w:pStyle w:val="Normal"/>
        <w:numPr>
          <w:ilvl w:val="0"/>
          <w:numId w:val="0"/>
        </w:numPr>
        <w:shd w:val="clear" w:color="auto" w:fill="FFFFFF"/>
        <w:tabs>
          <w:tab w:val="left" w:pos="3544" w:leader="none"/>
        </w:tabs>
        <w:ind w:start="4479" w:hanging="0"/>
        <w:jc w:val="both"/>
        <w:outlineLvl w:val="0"/>
        <w:rPr/>
      </w:pPr>
      <w:r>
        <w:rPr>
          <w:rFonts w:eastAsia="Arial Unicode MS" w:cs="Arial"/>
          <w:bCs/>
          <w:kern w:val="2"/>
        </w:rPr>
        <w:t>Dispõe sobre o pagamento de honorários advocatícios de sucumbência aos advogados públicos nas causas em que for parte o Município de Três Passos/RS.</w:t>
      </w:r>
    </w:p>
    <w:p>
      <w:pPr>
        <w:pStyle w:val="Normal"/>
        <w:numPr>
          <w:ilvl w:val="0"/>
          <w:numId w:val="0"/>
        </w:numPr>
        <w:shd w:val="clear" w:color="auto" w:fill="FFFFFF"/>
        <w:tabs>
          <w:tab w:val="left" w:pos="3544" w:leader="none"/>
        </w:tabs>
        <w:ind w:start="4479" w:hanging="0"/>
        <w:jc w:val="both"/>
        <w:outlineLvl w:val="0"/>
        <w:rPr>
          <w:rFonts w:eastAsia="Arial Unicode MS" w:cs="Arial"/>
          <w:bCs/>
          <w:kern w:val="2"/>
        </w:rPr>
      </w:pPr>
      <w:r>
        <w:rPr>
          <w:rFonts w:eastAsia="Arial Unicode MS" w:cs="Arial"/>
          <w:bCs/>
          <w:kern w:val="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Normal"/>
        <w:widowControl/>
        <w:bidi w:val="0"/>
        <w:ind w:start="0" w:end="0" w:firstLine="794"/>
        <w:jc w:val="both"/>
        <w:rPr>
          <w:rFonts w:cs="Arial"/>
          <w:highlight w:val="white"/>
        </w:rPr>
      </w:pPr>
      <w:r>
        <w:rPr>
          <w:rFonts w:cs="Arial"/>
          <w:highlight w:val="white"/>
        </w:rPr>
      </w:r>
    </w:p>
    <w:p>
      <w:pPr>
        <w:pStyle w:val="Normal"/>
        <w:widowControl/>
        <w:bidi w:val="0"/>
        <w:ind w:start="0" w:end="0" w:firstLine="794"/>
        <w:jc w:val="both"/>
        <w:rPr/>
      </w:pPr>
      <w:r>
        <w:rPr>
          <w:rFonts w:cs="Arial"/>
          <w:sz w:val="24"/>
          <w:szCs w:val="24"/>
          <w:highlight w:val="white"/>
        </w:rPr>
        <w:t>Art. 1</w:t>
      </w:r>
      <w:r>
        <w:rPr>
          <w:rFonts w:cs="Arial"/>
          <w:strike/>
          <w:sz w:val="24"/>
          <w:szCs w:val="24"/>
          <w:highlight w:val="white"/>
        </w:rPr>
        <w:t>º</w:t>
      </w:r>
      <w:r>
        <w:rPr>
          <w:rFonts w:cs="Arial"/>
          <w:sz w:val="24"/>
          <w:szCs w:val="24"/>
          <w:highlight w:val="white"/>
        </w:rPr>
        <w:t xml:space="preserve"> Os honorários advocatícios de sucumbência, nas causas em que for parte vencedora o Município de Três Passos, pertencem aos procuradores do município, conforme dispõe esta Lei.</w:t>
      </w:r>
    </w:p>
    <w:p>
      <w:pPr>
        <w:pStyle w:val="Normal"/>
        <w:widowControl/>
        <w:bidi w:val="0"/>
        <w:ind w:start="0" w:end="0" w:firstLine="794"/>
        <w:jc w:val="both"/>
        <w:rPr/>
      </w:pPr>
      <w:r>
        <w:rPr>
          <w:rFonts w:cs="Arial"/>
          <w:sz w:val="24"/>
          <w:szCs w:val="24"/>
          <w:highlight w:val="white"/>
        </w:rPr>
        <w:t>§ 1</w:t>
      </w:r>
      <w:r>
        <w:rPr>
          <w:rFonts w:cs="Arial"/>
          <w:strike/>
          <w:sz w:val="24"/>
          <w:szCs w:val="24"/>
          <w:highlight w:val="white"/>
        </w:rPr>
        <w:t>º</w:t>
      </w:r>
      <w:r>
        <w:rPr>
          <w:rFonts w:cs="Arial"/>
          <w:sz w:val="24"/>
          <w:szCs w:val="24"/>
          <w:highlight w:val="white"/>
        </w:rPr>
        <w:t xml:space="preserve"> Fará também jus ao recebimento dos honorários advocatícios de sucumbência, nos termos do caput, o Procurador-Geral do Município.</w:t>
      </w:r>
    </w:p>
    <w:p>
      <w:pPr>
        <w:pStyle w:val="Normal"/>
        <w:widowControl/>
        <w:bidi w:val="0"/>
        <w:ind w:start="0" w:end="0" w:firstLine="794"/>
        <w:jc w:val="both"/>
        <w:rPr/>
      </w:pPr>
      <w:r>
        <w:rPr>
          <w:rFonts w:cs="Arial"/>
          <w:sz w:val="24"/>
          <w:szCs w:val="24"/>
          <w:highlight w:val="white"/>
        </w:rPr>
        <w:t>§ 2</w:t>
      </w:r>
      <w:r>
        <w:rPr>
          <w:rFonts w:cs="Arial"/>
          <w:strike/>
          <w:sz w:val="24"/>
          <w:szCs w:val="24"/>
          <w:highlight w:val="white"/>
        </w:rPr>
        <w:t>º</w:t>
      </w:r>
      <w:r>
        <w:rPr>
          <w:rFonts w:cs="Arial"/>
          <w:sz w:val="24"/>
          <w:szCs w:val="24"/>
          <w:highlight w:val="white"/>
        </w:rPr>
        <w:t xml:space="preserve"> Os honorários não integram a remuneração ou o subsídio do cargo de procurador do município, não servindo como base de cálculo para adicionais, gratificações ou qualquer outra vantagem de natureza remuneratória ou indenizatória.</w:t>
      </w:r>
    </w:p>
    <w:p>
      <w:pPr>
        <w:pStyle w:val="Normal"/>
        <w:widowControl/>
        <w:bidi w:val="0"/>
        <w:ind w:start="0" w:end="0" w:firstLine="794"/>
        <w:jc w:val="both"/>
        <w:rPr>
          <w:rFonts w:cs="Arial"/>
          <w:sz w:val="24"/>
          <w:szCs w:val="24"/>
          <w:highlight w:val="white"/>
        </w:rPr>
      </w:pPr>
      <w:r>
        <w:rPr/>
      </w:r>
    </w:p>
    <w:p>
      <w:pPr>
        <w:pStyle w:val="Normal"/>
        <w:widowControl/>
        <w:bidi w:val="0"/>
        <w:ind w:start="0" w:end="0" w:firstLine="794"/>
        <w:jc w:val="both"/>
        <w:rPr/>
      </w:pPr>
      <w:r>
        <w:rPr>
          <w:rFonts w:cs="Arial"/>
          <w:sz w:val="24"/>
          <w:szCs w:val="24"/>
          <w:highlight w:val="white"/>
        </w:rPr>
        <w:t>Art. 2</w:t>
      </w:r>
      <w:r>
        <w:rPr>
          <w:rFonts w:cs="Arial"/>
          <w:strike/>
          <w:sz w:val="24"/>
          <w:szCs w:val="24"/>
          <w:highlight w:val="white"/>
        </w:rPr>
        <w:t>º</w:t>
      </w:r>
      <w:r>
        <w:rPr>
          <w:rFonts w:cs="Arial"/>
          <w:sz w:val="24"/>
          <w:szCs w:val="24"/>
          <w:highlight w:val="white"/>
        </w:rPr>
        <w:t xml:space="preserve"> Os honorários advocatícios de sucumbência são verbas de natureza privada, não constituindo encargos ao tesouro municipal.</w:t>
      </w:r>
    </w:p>
    <w:p>
      <w:pPr>
        <w:pStyle w:val="Normal"/>
        <w:widowControl/>
        <w:bidi w:val="0"/>
        <w:ind w:start="0" w:end="0" w:firstLine="794"/>
        <w:jc w:val="both"/>
        <w:rPr>
          <w:rFonts w:cs="Arial"/>
          <w:sz w:val="24"/>
          <w:szCs w:val="24"/>
          <w:highlight w:val="white"/>
        </w:rPr>
      </w:pPr>
      <w:r>
        <w:rPr/>
      </w:r>
    </w:p>
    <w:p>
      <w:pPr>
        <w:pStyle w:val="Normal"/>
        <w:widowControl/>
        <w:bidi w:val="0"/>
        <w:ind w:start="0" w:end="0" w:firstLine="794"/>
        <w:jc w:val="both"/>
        <w:rPr/>
      </w:pPr>
      <w:r>
        <w:rPr>
          <w:rFonts w:cs="Arial"/>
          <w:sz w:val="24"/>
          <w:szCs w:val="24"/>
          <w:highlight w:val="white"/>
        </w:rPr>
        <w:t>Art. 3</w:t>
      </w:r>
      <w:r>
        <w:rPr>
          <w:rFonts w:cs="Arial"/>
          <w:strike/>
          <w:sz w:val="24"/>
          <w:szCs w:val="24"/>
          <w:highlight w:val="white"/>
        </w:rPr>
        <w:t>º</w:t>
      </w:r>
      <w:r>
        <w:rPr>
          <w:rFonts w:cs="Arial"/>
          <w:sz w:val="24"/>
          <w:szCs w:val="24"/>
          <w:highlight w:val="white"/>
        </w:rPr>
        <w:t xml:space="preserve"> O pagamento da verba honorária de sucumbência será realizado entre todos os advogados públicos dos quadros da Administração Pública Direta, que possuírem, nas atribuições respectivas, a função de representação judicial da Fazenda Pública, sem distinção de cargo, órgão ou entidade de lotação.</w:t>
      </w:r>
    </w:p>
    <w:p>
      <w:pPr>
        <w:pStyle w:val="Normal"/>
        <w:widowControl/>
        <w:bidi w:val="0"/>
        <w:ind w:start="0" w:end="0" w:firstLine="794"/>
        <w:jc w:val="both"/>
        <w:rPr/>
      </w:pPr>
      <w:r>
        <w:rPr>
          <w:rFonts w:cs="Arial"/>
          <w:sz w:val="24"/>
          <w:szCs w:val="24"/>
          <w:highlight w:val="white"/>
        </w:rPr>
        <w:t>Parágrafo único. Exclui-se do pagamento da verba honorária de sucumbência de que trata esta Lei os procuradores nas seguintes situações:</w:t>
      </w:r>
    </w:p>
    <w:p>
      <w:pPr>
        <w:pStyle w:val="Normal"/>
        <w:widowControl/>
        <w:bidi w:val="0"/>
        <w:ind w:start="0" w:end="0" w:firstLine="794"/>
        <w:jc w:val="both"/>
        <w:rPr/>
      </w:pPr>
      <w:r>
        <w:rPr>
          <w:rFonts w:cs="Arial"/>
          <w:sz w:val="24"/>
          <w:szCs w:val="24"/>
          <w:highlight w:val="white"/>
        </w:rPr>
        <w:t>I – inativos;</w:t>
      </w:r>
    </w:p>
    <w:p>
      <w:pPr>
        <w:pStyle w:val="Normal"/>
        <w:widowControl/>
        <w:bidi w:val="0"/>
        <w:ind w:start="0" w:end="0" w:firstLine="794"/>
        <w:jc w:val="both"/>
        <w:rPr/>
      </w:pPr>
      <w:r>
        <w:rPr>
          <w:rFonts w:cs="Arial"/>
          <w:sz w:val="24"/>
          <w:szCs w:val="24"/>
          <w:highlight w:val="white"/>
        </w:rPr>
        <w:t>II – licenciados para tratamento de interesses particulares;</w:t>
      </w:r>
    </w:p>
    <w:p>
      <w:pPr>
        <w:pStyle w:val="Normal"/>
        <w:widowControl/>
        <w:bidi w:val="0"/>
        <w:ind w:start="0" w:end="0" w:firstLine="794"/>
        <w:jc w:val="both"/>
        <w:rPr/>
      </w:pPr>
      <w:r>
        <w:rPr>
          <w:rFonts w:cs="Arial"/>
          <w:sz w:val="24"/>
          <w:szCs w:val="24"/>
          <w:highlight w:val="white"/>
        </w:rPr>
        <w:t>III – licenciados para desempenho de mandato classista;</w:t>
      </w:r>
    </w:p>
    <w:p>
      <w:pPr>
        <w:pStyle w:val="Normal"/>
        <w:widowControl/>
        <w:bidi w:val="0"/>
        <w:ind w:start="0" w:end="0" w:firstLine="794"/>
        <w:jc w:val="both"/>
        <w:rPr/>
      </w:pPr>
      <w:r>
        <w:rPr>
          <w:rFonts w:cs="Arial"/>
          <w:sz w:val="24"/>
          <w:szCs w:val="24"/>
          <w:highlight w:val="white"/>
        </w:rPr>
        <w:t>IV – suspensos em cumprimento de penalidade disciplinar;</w:t>
      </w:r>
    </w:p>
    <w:p>
      <w:pPr>
        <w:pStyle w:val="Normal"/>
        <w:widowControl/>
        <w:bidi w:val="0"/>
        <w:ind w:start="0" w:end="0" w:firstLine="794"/>
        <w:jc w:val="both"/>
        <w:rPr/>
      </w:pPr>
      <w:r>
        <w:rPr>
          <w:rFonts w:cs="Arial"/>
          <w:sz w:val="24"/>
          <w:szCs w:val="24"/>
          <w:highlight w:val="white"/>
        </w:rPr>
        <w:t>V – suspensos ou impedidos de exercer a advocacia.</w:t>
      </w:r>
    </w:p>
    <w:p>
      <w:pPr>
        <w:pStyle w:val="Normal"/>
        <w:widowControl/>
        <w:bidi w:val="0"/>
        <w:ind w:start="0" w:end="0" w:firstLine="794"/>
        <w:jc w:val="both"/>
        <w:rPr>
          <w:rFonts w:cs="Arial"/>
          <w:sz w:val="24"/>
          <w:szCs w:val="24"/>
          <w:highlight w:val="white"/>
        </w:rPr>
      </w:pPr>
      <w:r>
        <w:rPr/>
      </w:r>
    </w:p>
    <w:p>
      <w:pPr>
        <w:pStyle w:val="Normal"/>
        <w:widowControl/>
        <w:bidi w:val="0"/>
        <w:ind w:start="0" w:end="0" w:firstLine="794"/>
        <w:jc w:val="both"/>
        <w:rPr/>
      </w:pPr>
      <w:r>
        <w:rPr>
          <w:rFonts w:cs="Arial"/>
          <w:sz w:val="24"/>
          <w:szCs w:val="24"/>
          <w:highlight w:val="white"/>
        </w:rPr>
        <w:t>Art. 4</w:t>
      </w:r>
      <w:r>
        <w:rPr>
          <w:rFonts w:cs="Arial"/>
          <w:strike/>
          <w:sz w:val="24"/>
          <w:szCs w:val="24"/>
          <w:highlight w:val="white"/>
        </w:rPr>
        <w:t>º</w:t>
      </w:r>
      <w:r>
        <w:rPr>
          <w:rFonts w:cs="Arial"/>
          <w:sz w:val="24"/>
          <w:szCs w:val="24"/>
          <w:highlight w:val="white"/>
        </w:rPr>
        <w:t xml:space="preserve"> A verba correspondente aos honorários advocatícios de que trata esta Lei será depositada em conta especial, aberta pela Secretaria Municipal da Fazenda exclusivamente para este fim, sendo a quantia apurada mensalmente, rateada em partes iguais entre todos os seus titulares, no mês subsequente à data em que se consumar o recolhimento, e paga até o 5</w:t>
      </w:r>
      <w:r>
        <w:rPr>
          <w:rFonts w:cs="Arial"/>
          <w:strike/>
          <w:sz w:val="24"/>
          <w:szCs w:val="24"/>
          <w:highlight w:val="white"/>
        </w:rPr>
        <w:t>º</w:t>
      </w:r>
      <w:r>
        <w:rPr>
          <w:rFonts w:cs="Arial"/>
          <w:sz w:val="24"/>
          <w:szCs w:val="24"/>
          <w:highlight w:val="white"/>
        </w:rPr>
        <w:t xml:space="preserve"> (quinto) dia útil de cada mês.</w:t>
      </w:r>
    </w:p>
    <w:p>
      <w:pPr>
        <w:pStyle w:val="Normal"/>
        <w:widowControl/>
        <w:bidi w:val="0"/>
        <w:ind w:start="0" w:end="0" w:firstLine="794"/>
        <w:jc w:val="both"/>
        <w:rPr>
          <w:rFonts w:cs="Arial"/>
          <w:sz w:val="24"/>
          <w:szCs w:val="24"/>
          <w:highlight w:val="white"/>
        </w:rPr>
      </w:pPr>
      <w:r>
        <w:rPr/>
      </w:r>
    </w:p>
    <w:p>
      <w:pPr>
        <w:pStyle w:val="Normal"/>
        <w:widowControl/>
        <w:bidi w:val="0"/>
        <w:ind w:start="0" w:end="0" w:firstLine="794"/>
        <w:jc w:val="both"/>
        <w:rPr/>
      </w:pPr>
      <w:r>
        <w:rPr>
          <w:rFonts w:cs="Arial"/>
          <w:sz w:val="24"/>
          <w:szCs w:val="24"/>
          <w:highlight w:val="white"/>
        </w:rPr>
        <w:t>Art. 5</w:t>
      </w:r>
      <w:r>
        <w:rPr>
          <w:rFonts w:cs="Arial"/>
          <w:strike/>
          <w:sz w:val="24"/>
          <w:szCs w:val="24"/>
          <w:highlight w:val="white"/>
        </w:rPr>
        <w:t>º</w:t>
      </w:r>
      <w:r>
        <w:rPr>
          <w:rFonts w:cs="Arial"/>
          <w:sz w:val="24"/>
          <w:szCs w:val="24"/>
          <w:highlight w:val="white"/>
        </w:rPr>
        <w:t xml:space="preserve"> O advogado público atuante no processo judicial deverá requerer que os honorários advocatícios sejam objeto de alvará apartado, bem como que sejam creditados exclusivamente na conta destinada aos fins da presente Lei.</w:t>
      </w:r>
    </w:p>
    <w:p>
      <w:pPr>
        <w:pStyle w:val="Normal"/>
        <w:widowControl/>
        <w:bidi w:val="0"/>
        <w:ind w:start="0" w:end="0" w:firstLine="794"/>
        <w:jc w:val="both"/>
        <w:rPr>
          <w:rFonts w:cs="Arial"/>
          <w:sz w:val="24"/>
          <w:szCs w:val="24"/>
          <w:highlight w:val="white"/>
        </w:rPr>
      </w:pPr>
      <w:r>
        <w:rPr/>
      </w:r>
    </w:p>
    <w:p>
      <w:pPr>
        <w:pStyle w:val="Normal"/>
        <w:widowControl/>
        <w:bidi w:val="0"/>
        <w:ind w:start="0" w:end="0" w:firstLine="794"/>
        <w:jc w:val="both"/>
        <w:rPr>
          <w:rFonts w:cs="Arial"/>
          <w:sz w:val="24"/>
          <w:szCs w:val="24"/>
          <w:highlight w:val="white"/>
        </w:rPr>
      </w:pPr>
      <w:r>
        <w:rPr/>
      </w:r>
    </w:p>
    <w:p>
      <w:pPr>
        <w:pStyle w:val="Normal"/>
        <w:widowControl/>
        <w:bidi w:val="0"/>
        <w:ind w:start="0" w:end="0" w:firstLine="794"/>
        <w:jc w:val="both"/>
        <w:rPr/>
      </w:pPr>
      <w:r>
        <w:rPr>
          <w:rFonts w:cs="Arial"/>
          <w:sz w:val="24"/>
          <w:szCs w:val="24"/>
          <w:highlight w:val="white"/>
        </w:rPr>
        <w:t>Art. 6</w:t>
      </w:r>
      <w:r>
        <w:rPr>
          <w:rFonts w:cs="Arial"/>
          <w:strike/>
          <w:sz w:val="24"/>
          <w:szCs w:val="24"/>
          <w:highlight w:val="white"/>
        </w:rPr>
        <w:t>º</w:t>
      </w:r>
      <w:r>
        <w:rPr>
          <w:rFonts w:cs="Arial"/>
          <w:sz w:val="24"/>
          <w:szCs w:val="24"/>
          <w:highlight w:val="white"/>
        </w:rPr>
        <w:t xml:space="preserve"> Nos processos em que o alvará for expedido de forma automatizada na conta do Município, assim como nos casos em que houver pagamento na via administrativa, a Secretaria Municipal da Fazenda deverá proceder à imediata transferência dos valores relativos aos honorários advocatícios para a conta referida no caput deste artigo.</w:t>
      </w:r>
    </w:p>
    <w:p>
      <w:pPr>
        <w:pStyle w:val="Normal"/>
        <w:widowControl/>
        <w:bidi w:val="0"/>
        <w:ind w:start="0" w:end="0" w:firstLine="794"/>
        <w:jc w:val="both"/>
        <w:rPr>
          <w:rFonts w:cs="Arial"/>
          <w:sz w:val="24"/>
          <w:szCs w:val="24"/>
          <w:highlight w:val="white"/>
        </w:rPr>
      </w:pPr>
      <w:r>
        <w:rPr/>
      </w:r>
    </w:p>
    <w:p>
      <w:pPr>
        <w:pStyle w:val="Normal"/>
        <w:widowControl/>
        <w:bidi w:val="0"/>
        <w:ind w:start="0" w:end="0" w:firstLine="794"/>
        <w:jc w:val="both"/>
        <w:rPr/>
      </w:pPr>
      <w:r>
        <w:rPr>
          <w:rFonts w:cs="Arial"/>
          <w:sz w:val="24"/>
          <w:szCs w:val="24"/>
          <w:highlight w:val="white"/>
        </w:rPr>
        <w:t>Art. 7</w:t>
      </w:r>
      <w:r>
        <w:rPr>
          <w:rFonts w:cs="Arial"/>
          <w:strike/>
          <w:sz w:val="24"/>
          <w:szCs w:val="24"/>
          <w:highlight w:val="white"/>
        </w:rPr>
        <w:t>º</w:t>
      </w:r>
      <w:r>
        <w:rPr>
          <w:rFonts w:cs="Arial"/>
          <w:sz w:val="24"/>
          <w:szCs w:val="24"/>
          <w:highlight w:val="white"/>
        </w:rPr>
        <w:t xml:space="preserve"> Fica designada a Secretaria Municipal da Fazenda para os fins operacionais e específicos de rateio, distribuição e pagamento dos honorários de sucumbência.</w:t>
      </w:r>
    </w:p>
    <w:p>
      <w:pPr>
        <w:pStyle w:val="Normal"/>
        <w:widowControl/>
        <w:bidi w:val="0"/>
        <w:ind w:start="0" w:end="0" w:firstLine="794"/>
        <w:jc w:val="both"/>
        <w:rPr>
          <w:rFonts w:cs="Arial"/>
          <w:sz w:val="24"/>
          <w:szCs w:val="24"/>
          <w:highlight w:val="white"/>
        </w:rPr>
      </w:pPr>
      <w:r>
        <w:rPr/>
      </w:r>
    </w:p>
    <w:p>
      <w:pPr>
        <w:pStyle w:val="Normal"/>
        <w:widowControl/>
        <w:bidi w:val="0"/>
        <w:ind w:start="0" w:end="0" w:firstLine="794"/>
        <w:jc w:val="both"/>
        <w:rPr/>
      </w:pPr>
      <w:r>
        <w:rPr>
          <w:rFonts w:cs="Arial"/>
          <w:sz w:val="24"/>
          <w:szCs w:val="24"/>
          <w:highlight w:val="white"/>
        </w:rPr>
        <w:t>Art. 8</w:t>
      </w:r>
      <w:r>
        <w:rPr>
          <w:rFonts w:cs="Arial"/>
          <w:strike/>
          <w:sz w:val="24"/>
          <w:szCs w:val="24"/>
          <w:highlight w:val="white"/>
        </w:rPr>
        <w:t>º</w:t>
      </w:r>
      <w:r>
        <w:rPr>
          <w:rFonts w:cs="Arial"/>
          <w:sz w:val="24"/>
          <w:szCs w:val="24"/>
          <w:highlight w:val="white"/>
        </w:rPr>
        <w:t xml:space="preserve"> Com a finalidade de acompanhar e fiscalizar a aferição e o rateio da verba honorária entre os advogados públicos municipais, estes elegerão entre si um representante para a função de Curador dos Honorários Advocatícios, que será exercida pelo prazo de 2 (dois) anos, permitida a recondução, mediante novo processo de escolha.</w:t>
      </w:r>
    </w:p>
    <w:p>
      <w:pPr>
        <w:pStyle w:val="Normal"/>
        <w:widowControl/>
        <w:bidi w:val="0"/>
        <w:ind w:start="0" w:end="0" w:firstLine="794"/>
        <w:jc w:val="both"/>
        <w:rPr>
          <w:rFonts w:cs="Arial"/>
          <w:sz w:val="24"/>
          <w:szCs w:val="24"/>
          <w:highlight w:val="white"/>
        </w:rPr>
      </w:pPr>
      <w:r>
        <w:rPr/>
      </w:r>
    </w:p>
    <w:p>
      <w:pPr>
        <w:pStyle w:val="Normal"/>
        <w:widowControl/>
        <w:bidi w:val="0"/>
        <w:ind w:start="0" w:end="0" w:firstLine="794"/>
        <w:jc w:val="both"/>
        <w:rPr/>
      </w:pPr>
      <w:r>
        <w:rPr>
          <w:rFonts w:cs="Arial"/>
          <w:sz w:val="24"/>
          <w:szCs w:val="24"/>
          <w:highlight w:val="white"/>
        </w:rPr>
        <w:t>Art. 9</w:t>
      </w:r>
      <w:r>
        <w:rPr>
          <w:rFonts w:cs="Arial"/>
          <w:strike/>
          <w:sz w:val="24"/>
          <w:szCs w:val="24"/>
          <w:highlight w:val="white"/>
        </w:rPr>
        <w:t>º</w:t>
      </w:r>
      <w:r>
        <w:rPr>
          <w:rFonts w:cs="Arial"/>
          <w:sz w:val="24"/>
          <w:szCs w:val="24"/>
          <w:highlight w:val="white"/>
        </w:rPr>
        <w:t xml:space="preserve"> A Secretaria Municipal da Fazenda fornecerá diretamente ao Curador dos Honorários Advocatícios planilha e relatório de distribuição mensal dos honorários de sucumbência, com extrato e saldos da conta referida no art. 4</w:t>
      </w:r>
      <w:r>
        <w:rPr>
          <w:rFonts w:cs="Arial"/>
          <w:strike/>
          <w:sz w:val="24"/>
          <w:szCs w:val="24"/>
          <w:highlight w:val="white"/>
        </w:rPr>
        <w:t>º</w:t>
      </w:r>
      <w:r>
        <w:rPr>
          <w:rFonts w:cs="Arial"/>
          <w:sz w:val="24"/>
          <w:szCs w:val="24"/>
          <w:highlight w:val="white"/>
        </w:rPr>
        <w:t xml:space="preserve"> desta Lei.</w:t>
      </w:r>
    </w:p>
    <w:p>
      <w:pPr>
        <w:pStyle w:val="Normal"/>
        <w:widowControl/>
        <w:bidi w:val="0"/>
        <w:ind w:start="0" w:end="0" w:firstLine="794"/>
        <w:jc w:val="both"/>
        <w:rPr>
          <w:rFonts w:cs="Arial"/>
          <w:sz w:val="24"/>
          <w:szCs w:val="24"/>
          <w:highlight w:val="white"/>
        </w:rPr>
      </w:pPr>
      <w:r>
        <w:rPr/>
      </w:r>
    </w:p>
    <w:p>
      <w:pPr>
        <w:pStyle w:val="Normal"/>
        <w:widowControl/>
        <w:bidi w:val="0"/>
        <w:ind w:start="0" w:end="0" w:firstLine="794"/>
        <w:jc w:val="both"/>
        <w:rPr/>
      </w:pPr>
      <w:r>
        <w:rPr>
          <w:rFonts w:cs="Arial"/>
          <w:sz w:val="24"/>
          <w:szCs w:val="24"/>
          <w:highlight w:val="white"/>
        </w:rPr>
        <w:t>Art. 10. É nula qualquer disposição, cláusula, regulamentação ou ato administrativo que retire dos advogados públicos municipais o direito ao recebimento dos honorários advocatícios de sucumbência.</w:t>
      </w:r>
    </w:p>
    <w:p>
      <w:pPr>
        <w:pStyle w:val="Normal"/>
        <w:widowControl/>
        <w:bidi w:val="0"/>
        <w:ind w:start="0" w:end="0" w:firstLine="794"/>
        <w:jc w:val="both"/>
        <w:rPr>
          <w:rFonts w:cs="Arial"/>
          <w:sz w:val="24"/>
          <w:szCs w:val="24"/>
          <w:highlight w:val="white"/>
        </w:rPr>
      </w:pPr>
      <w:r>
        <w:rPr/>
      </w:r>
    </w:p>
    <w:p>
      <w:pPr>
        <w:pStyle w:val="Normal"/>
        <w:widowControl/>
        <w:bidi w:val="0"/>
        <w:ind w:start="0" w:end="0" w:firstLine="794"/>
        <w:jc w:val="both"/>
        <w:rPr/>
      </w:pPr>
      <w:r>
        <w:rPr>
          <w:rFonts w:cs="Arial"/>
          <w:sz w:val="24"/>
          <w:szCs w:val="24"/>
          <w:highlight w:val="white"/>
        </w:rPr>
        <w:t xml:space="preserve">Art. 11. </w:t>
      </w:r>
      <w:r>
        <w:rPr>
          <w:rFonts w:cs="Arial"/>
          <w:sz w:val="24"/>
          <w:szCs w:val="24"/>
          <w:highlight w:val="white"/>
        </w:rPr>
        <w:t>Esta lei entrará em vigor a partir de sua publicação, sendo vedado repassar aos Procuradores os valores eventualmente recebidos pelo Município até a vigência desta lei.</w:t>
      </w:r>
    </w:p>
    <w:p>
      <w:pPr>
        <w:pStyle w:val="Normal"/>
        <w:widowControl/>
        <w:bidi w:val="0"/>
        <w:ind w:start="0" w:end="0" w:firstLine="794"/>
        <w:jc w:val="both"/>
        <w:rPr>
          <w:rFonts w:cs="Arial"/>
          <w:sz w:val="22"/>
          <w:szCs w:val="22"/>
          <w:highlight w:val="white"/>
        </w:rPr>
      </w:pPr>
      <w:r>
        <w:rPr>
          <w:rFonts w:cs="Arial"/>
          <w:sz w:val="22"/>
          <w:szCs w:val="22"/>
          <w:highlight w:val="white"/>
        </w:rPr>
      </w:r>
    </w:p>
    <w:p>
      <w:pPr>
        <w:pStyle w:val="Normal"/>
        <w:widowControl/>
        <w:bidi w:val="0"/>
        <w:ind w:start="0" w:end="0" w:firstLine="794"/>
        <w:jc w:val="both"/>
        <w:rPr>
          <w:rFonts w:cs="Arial"/>
          <w:sz w:val="22"/>
          <w:szCs w:val="22"/>
          <w:highlight w:val="white"/>
        </w:rPr>
      </w:pPr>
      <w:r>
        <w:rPr>
          <w:rFonts w:cs="Arial"/>
          <w:sz w:val="22"/>
          <w:szCs w:val="22"/>
          <w:highlight w:val="white"/>
        </w:rPr>
      </w:r>
    </w:p>
    <w:p>
      <w:pPr>
        <w:pStyle w:val="Normal"/>
        <w:jc w:val="center"/>
        <w:rPr/>
      </w:pPr>
      <w:r>
        <w:rPr/>
      </w:r>
    </w:p>
    <w:p>
      <w:pPr>
        <w:pStyle w:val="Normal"/>
        <w:jc w:val="center"/>
        <w:rPr/>
      </w:pPr>
      <w:r>
        <w:rPr/>
        <w:t>PREFEITO MUNICIPAL</w:t>
      </w:r>
    </w:p>
    <w:p>
      <w:pPr>
        <w:pStyle w:val="Normal"/>
        <w:jc w:val="both"/>
        <w:rPr/>
      </w:pPr>
      <w:r>
        <w:rPr/>
      </w:r>
    </w:p>
    <w:p>
      <w:pPr>
        <w:pStyle w:val="Normal"/>
        <w:jc w:val="both"/>
        <w:rPr>
          <w:rFonts w:cs="Arial"/>
          <w:highlight w:val="white"/>
        </w:rPr>
      </w:pPr>
      <w:r>
        <w:rPr>
          <w:rFonts w:cs="Arial"/>
          <w:highlight w:val="white"/>
        </w:rPr>
      </w:r>
    </w:p>
    <w:p>
      <w:pPr>
        <w:pStyle w:val="Normal"/>
        <w:jc w:val="both"/>
        <w:rPr>
          <w:rFonts w:cs="Arial"/>
          <w:highlight w:val="white"/>
        </w:rPr>
      </w:pPr>
      <w:r>
        <w:rPr>
          <w:rFonts w:cs="Arial"/>
          <w:highlight w:val="white"/>
        </w:rPr>
      </w:r>
    </w:p>
    <w:p>
      <w:pPr>
        <w:pStyle w:val="Normal"/>
        <w:jc w:val="both"/>
        <w:rPr>
          <w:rFonts w:cs="Arial"/>
          <w:highlight w:val="white"/>
        </w:rPr>
      </w:pPr>
      <w:r>
        <w:rPr>
          <w:rFonts w:cs="Arial"/>
          <w:highlight w:val="white"/>
        </w:rPr>
      </w:r>
    </w:p>
    <w:p>
      <w:pPr>
        <w:pStyle w:val="Normal"/>
        <w:jc w:val="both"/>
        <w:rPr>
          <w:rFonts w:cs="Arial"/>
          <w:highlight w:val="white"/>
        </w:rPr>
      </w:pPr>
      <w:r>
        <w:rPr>
          <w:rFonts w:cs="Arial"/>
          <w:highlight w:val="white"/>
        </w:rPr>
      </w:r>
    </w:p>
    <w:p>
      <w:pPr>
        <w:pStyle w:val="Normal"/>
        <w:jc w:val="both"/>
        <w:rPr>
          <w:rFonts w:cs="Arial"/>
          <w:highlight w:val="white"/>
        </w:rPr>
      </w:pPr>
      <w:r>
        <w:rPr>
          <w:rFonts w:cs="Arial"/>
          <w:highlight w:val="white"/>
        </w:rPr>
      </w:r>
    </w:p>
    <w:p>
      <w:pPr>
        <w:pStyle w:val="Normal"/>
        <w:jc w:val="both"/>
        <w:rPr>
          <w:rFonts w:cs="Arial"/>
          <w:highlight w:val="white"/>
        </w:rPr>
      </w:pPr>
      <w:r>
        <w:rPr>
          <w:rFonts w:cs="Arial"/>
          <w:highlight w:val="white"/>
        </w:rPr>
      </w:r>
    </w:p>
    <w:p>
      <w:pPr>
        <w:pStyle w:val="Normal"/>
        <w:jc w:val="both"/>
        <w:rPr>
          <w:rFonts w:cs="Arial"/>
          <w:highlight w:val="white"/>
        </w:rPr>
      </w:pPr>
      <w:r>
        <w:rPr>
          <w:rFonts w:cs="Arial"/>
          <w:highlight w:val="white"/>
        </w:rPr>
      </w:r>
    </w:p>
    <w:p>
      <w:pPr>
        <w:pStyle w:val="Normal"/>
        <w:jc w:val="both"/>
        <w:rPr>
          <w:rFonts w:cs="Arial"/>
          <w:highlight w:val="white"/>
        </w:rPr>
      </w:pPr>
      <w:r>
        <w:rPr>
          <w:rFonts w:cs="Arial"/>
          <w:highlight w:val="white"/>
        </w:rPr>
      </w:r>
    </w:p>
    <w:p>
      <w:pPr>
        <w:pStyle w:val="Normal"/>
        <w:jc w:val="both"/>
        <w:rPr>
          <w:rFonts w:cs="Arial"/>
          <w:highlight w:val="white"/>
        </w:rPr>
      </w:pPr>
      <w:r>
        <w:rPr/>
      </w:r>
    </w:p>
    <w:p>
      <w:pPr>
        <w:pStyle w:val="Normal"/>
        <w:jc w:val="both"/>
        <w:rPr>
          <w:rFonts w:cs="Arial"/>
          <w:highlight w:val="white"/>
        </w:rPr>
      </w:pPr>
      <w:r>
        <w:rPr/>
      </w:r>
    </w:p>
    <w:p>
      <w:pPr>
        <w:pStyle w:val="Normal"/>
        <w:jc w:val="both"/>
        <w:rPr/>
      </w:pPr>
      <w:r>
        <w:rPr>
          <w:rFonts w:cs="Arial"/>
          <w:highlight w:val="white"/>
        </w:rPr>
        <w:t xml:space="preserve">PL </w:t>
      </w:r>
      <w:r>
        <w:rPr>
          <w:rFonts w:cs="Arial"/>
          <w:highlight w:val="white"/>
        </w:rPr>
        <w:t>86</w:t>
      </w:r>
      <w:r>
        <w:rPr>
          <w:rFonts w:cs="Arial"/>
          <w:highlight w:val="white"/>
        </w:rPr>
        <w:t>/18.-</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Palatino Linotype">
    <w:charset w:val="00" w:characterSet="windows-1252"/>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rFonts w:ascii="Arial Black" w:hAnsi="Arial Black"/>
        <w:sz w:val="18"/>
      </w:rPr>
    </w:pPr>
    <w:r>
      <w:rPr>
        <w:rFonts w:ascii="Arial Black" w:hAnsi="Arial Black"/>
        <w:sz w:val="16"/>
      </w:rPr>
      <w:t>E-mail: camara@trespassos.rs.leg.br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3">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customStyle="1">
    <w:name w:val="ListLabel 1"/>
    <w:qFormat/>
    <w:rPr>
      <w:b/>
      <w:i w:val="false"/>
      <w:sz w:val="22"/>
    </w:rPr>
  </w:style>
  <w:style w:type="character" w:styleId="ListLabel2" w:customStyle="1">
    <w:name w:val="ListLabel 2"/>
    <w:qFormat/>
    <w:rPr>
      <w:b/>
      <w:u w:val="single"/>
    </w:rPr>
  </w:style>
  <w:style w:type="character" w:styleId="ListLabel3" w:customStyle="1">
    <w:name w:val="ListLabel 3"/>
    <w:qFormat/>
    <w:rPr>
      <w:b/>
      <w:i w:val="false"/>
    </w:rPr>
  </w:style>
  <w:style w:type="character" w:styleId="ListLabel4" w:customStyle="1">
    <w:name w:val="ListLabel 4"/>
    <w:qFormat/>
    <w:rPr>
      <w:rFonts w:eastAsia="Calibri" w:cs="Arial"/>
      <w:b/>
    </w:rPr>
  </w:style>
  <w:style w:type="character" w:styleId="Nfaseforte">
    <w:name w:val="Ênfase forte"/>
    <w:qFormat/>
    <w:rPr>
      <w:b/>
      <w:bC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ind w:start="3200" w:hanging="0"/>
      <w:jc w:val="both"/>
    </w:pPr>
    <w:rPr>
      <w:rFonts w:ascii="Arial" w:hAnsi="Arial" w:cs="Arial"/>
      <w:b/>
      <w:sz w:val="32"/>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qFormat/>
    <w:pPr>
      <w:widowControl/>
      <w:bidi w:val="0"/>
      <w:jc w:val="start"/>
    </w:pPr>
    <w:rPr>
      <w:rFonts w:ascii="Times New Roman" w:hAnsi="Times New Roman" w:eastAsia="Times New Roman" w:cs="Times New Roman"/>
      <w:color w:val="00000A"/>
      <w:kern w:val="0"/>
      <w:sz w:val="24"/>
      <w:szCs w:val="24"/>
      <w:lang w:val="pt-BR" w:eastAsia="zh-CN"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paragraph" w:styleId="SemEspaamento">
    <w:name w:val="Sem Espaçamento"/>
    <w:qFormat/>
    <w:pPr>
      <w:widowControl/>
      <w:tabs>
        <w:tab w:val="left" w:pos="1701" w:leader="none"/>
      </w:tabs>
      <w:suppressAutoHyphens w:val="true"/>
      <w:bidi w:val="0"/>
      <w:jc w:val="both"/>
    </w:pPr>
    <w:rPr>
      <w:rFonts w:ascii="Arial" w:hAnsi="Arial" w:eastAsia="Times New Roman" w:cs="Arial"/>
      <w:color w:val="00000A"/>
      <w:kern w:val="0"/>
      <w:sz w:val="22"/>
      <w:szCs w:val="20"/>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FFF2-A97E-4F09-8B7F-11C0CFC3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Application>LibreOffice/5.4.7.2$Windows_X86_64 LibreOffice_project/c838ef25c16710f8838b1faec480ebba495259d0</Application>
  <Pages>2</Pages>
  <Words>620</Words>
  <Characters>3485</Characters>
  <CharactersWithSpaces>4087</CharactersWithSpaces>
  <Paragraphs>28</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2018-06-19T12:42:00Z</dcterms:created>
  <dc:creator>CAMARA MUNICIPAL DE VEREADORES DE TRES PASSOS</dc:creator>
  <dc:description/>
  <dc:language>pt-BR</dc:language>
  <cp:lastModifiedBy/>
  <cp:lastPrinted>2018-12-14T09:47:27Z</cp:lastPrinted>
  <dcterms:modified xsi:type="dcterms:W3CDTF">2018-12-14T09:44:07Z</dcterms:modified>
  <cp:revision>114</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