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/>
      </w:r>
    </w:p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start="4536" w:hanging="0"/>
        <w:jc w:val="both"/>
        <w:rPr/>
      </w:pPr>
      <w:r>
        <w:rPr/>
        <w:t>Concede reajuste salarial aos servidores municipais, ativos e inativos, estatutários, celetistas, pensionistas e contratados emergencialmente do Município de Três Passos.</w:t>
      </w:r>
    </w:p>
    <w:p>
      <w:pPr>
        <w:pStyle w:val="Normal"/>
        <w:ind w:star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Fica concedido reajuste salarial de 1% (um por cento) aos servidores municipais, ativos e inativos, estatutários, celetistas, pensionistas e contratados emergencialmente do Município de Três Passos.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Servirá como data base da revisão o dia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fevereiro de 2019.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As despesas decorrentes desta lei correrão por conta de dotações orçamentárias próprias.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/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4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publicação, surtindo seus efeitos a contar de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de fevereiro de 2019.</w:t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/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 xml:space="preserve">PL </w:t>
      </w:r>
      <w:r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>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LibreOffice/5.4.7.2$Windows_X86_64 LibreOffice_project/c838ef25c16710f8838b1faec480ebba495259d0</Application>
  <Pages>1</Pages>
  <Words>184</Words>
  <Characters>1020</Characters>
  <CharactersWithSpaces>1196</CharactersWithSpaces>
  <Paragraphs>13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2019-01-29T11:35:48Z</cp:lastPrinted>
  <dcterms:modified xsi:type="dcterms:W3CDTF">2019-01-29T11:35:13Z</dcterms:modified>
  <cp:revision>22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