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o Poder Executivo a proceder na alteração da Lei Municipal 3.305, de 07 de junho de 1997.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 xml:space="preserve">Fica autorizado o Poder Executivo Municipal proceder na alteração da redação do art. </w:t>
      </w:r>
      <w:r>
        <w:rPr>
          <w:rFonts w:cs="Arial"/>
          <w:sz w:val="24"/>
          <w:szCs w:val="22"/>
        </w:rPr>
        <w:t>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, da Lei Municipal 3.305, de 07 de junho de 1997, a qual passará a viger com a seguinte redação: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907" w:end="0" w:hanging="0"/>
        <w:jc w:val="both"/>
        <w:rPr/>
      </w:pPr>
      <w:r>
        <w:rPr>
          <w:rFonts w:cs="Arial"/>
          <w:sz w:val="24"/>
          <w:szCs w:val="22"/>
        </w:rPr>
        <w:t>“</w:t>
      </w: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prazo para que os ocupantes cadastrados providenciem na escrituração do respectivo lote será até a data limite de 31 de dezembro de 2020.</w:t>
      </w:r>
    </w:p>
    <w:p>
      <w:pPr>
        <w:pStyle w:val="BodyText3"/>
        <w:widowControl/>
        <w:bidi w:val="0"/>
        <w:spacing w:before="0" w:after="0"/>
        <w:ind w:start="907" w:end="0" w:hanging="0"/>
        <w:jc w:val="both"/>
        <w:rPr/>
      </w:pPr>
      <w:r>
        <w:rPr>
          <w:rFonts w:cs="Arial"/>
          <w:sz w:val="24"/>
          <w:szCs w:val="22"/>
        </w:rPr>
        <w:t>Parágrafo único. A não escrituração do lote no prazo mencionado acarretará desocupação do imóvel, sendo este redistribuído a critério do Poder Executivo Municipal.”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demais disposições constantes na Lei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3.305, de 07 de junho de 1997, permanecem inalteradas.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Ficam revogadas as Leis Municipais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4.036/2006,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4.183/2008 e 4.685/2012 e 5048/2015.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entre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2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LibreOffice/5.4.7.2$Windows_X86_64 LibreOffice_project/c838ef25c16710f8838b1faec480ebba495259d0</Application>
  <Pages>1</Pages>
  <Words>232</Words>
  <Characters>1185</Characters>
  <CharactersWithSpaces>1408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2019-04-16T11:20:58Z</cp:lastPrinted>
  <dcterms:modified xsi:type="dcterms:W3CDTF">2019-04-16T11:20:49Z</dcterms:modified>
  <cp:revision>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