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a contratar Operações de Crédito com a Caixa Econômica Federal para Máquinas e Equipamentos Rodoviários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 xml:space="preserve">Fica o Poder Executivo autorizado a contratar com a Caixa Econômica Federal- CEF </w:t>
      </w:r>
      <w:r>
        <w:rPr>
          <w:rFonts w:cs="Arial"/>
          <w:sz w:val="24"/>
          <w:szCs w:val="22"/>
        </w:rPr>
        <w:t xml:space="preserve">operações de crédito até o limite de R$ 1.500.000,00 (um milhão e quinhentos mil reais), </w:t>
      </w:r>
      <w:r>
        <w:rPr>
          <w:rFonts w:cs="Arial"/>
          <w:sz w:val="24"/>
          <w:szCs w:val="22"/>
        </w:rPr>
        <w:t xml:space="preserve">no âmbito do programa FINISA – </w:t>
      </w:r>
      <w:r>
        <w:rPr>
          <w:rFonts w:cs="Arial"/>
          <w:sz w:val="24"/>
          <w:szCs w:val="22"/>
        </w:rPr>
        <w:t>Financiamento à Infraestrutura e ao Saneamento – Modalidade Apoio Financeiro destinado à aplicação em Despesa de Capital – Resolução CMN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trike w:val="false"/>
          <w:dstrike w:val="false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4.563/2017 e suas alterações, observada a legislação vigente, em especial as disposições da Lei Complementar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101, de 04 de maio de 2000.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</w:t>
      </w:r>
      <w:r>
        <w:rPr>
          <w:rFonts w:cs="Arial"/>
          <w:sz w:val="24"/>
          <w:szCs w:val="22"/>
        </w:rPr>
        <w:t>garantia</w:t>
      </w:r>
      <w:r>
        <w:rPr>
          <w:rFonts w:cs="Arial"/>
          <w:sz w:val="24"/>
          <w:szCs w:val="22"/>
        </w:rPr>
        <w:t xml:space="preserve"> do principal, </w:t>
      </w:r>
      <w:r>
        <w:rPr>
          <w:rFonts w:cs="Arial"/>
          <w:sz w:val="24"/>
          <w:szCs w:val="22"/>
        </w:rPr>
        <w:t>encargos e acessórios do financiamento pelo Município de Três Passos/RS, para a execução de obras, serviços e equipamentos, observada a finalidade indicada no 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, fica o Poder Executivo autorizado </w:t>
      </w:r>
      <w:r>
        <w:rPr>
          <w:rFonts w:cs="Arial"/>
          <w:sz w:val="24"/>
          <w:szCs w:val="22"/>
        </w:rPr>
        <w:t xml:space="preserve">a ceder ou vincular </w:t>
      </w:r>
      <w:r>
        <w:rPr>
          <w:rFonts w:cs="Arial"/>
          <w:sz w:val="24"/>
          <w:szCs w:val="22"/>
        </w:rPr>
        <w:t>em garantia</w:t>
      </w:r>
      <w:r>
        <w:rPr>
          <w:rFonts w:cs="Arial"/>
          <w:sz w:val="24"/>
          <w:szCs w:val="22"/>
        </w:rPr>
        <w:t>,  em caráter irrevogável e irretratável, a modo pro solvendo, as receitas e Quotas do Fundo de Participação dos Municípios – FPM, a que se refere o art. 159, inciso I da Constituição Federal.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disposto no caput deste artigo obedece aos ditames contidos no Inciso I do art. 159 da Constituição Federal, e, na hipótese da extinção dos impostos ali mencionados, os fundos ou impostos que venham a substituí-los, bem como, na sua insuficiência, parte dos depósitos serão conferidos à CAIXA ECÔNOMICA FEDERAL os poderes bastantes para que as garantias possam ser prontamente exequíveis no caso de inadimplemento.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a efetivação da cessão ou vinculação em garantia dos recursos previstos no caput deste artigo, fica o BANCO DO BRASIL autorizado a transferir os recursos cedidos ou vinculados à conta e ordem da CAIXA ECONÔMICA FEDERAL, nos montantes necessários à amortização da dívida nos prazos contratualmente estipulados, em caso de cessão, ou ao pagamento dos débitos vencidos e não pagos, em caso de vinculação.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poderes previstos neste artigo e nos parágrafos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só poderão ser exercidos pela CAIXA ECONÔMICA FEDERAL, na hipótese de o MUNICÍPIO DE TRÊS PASSOS não ter efetuado, no vencimento, o pagamento das obrigações assumidas nos contratos de empréstimos, financiamentos ou operações de crédito celebrados com a CAIXA ECONÔMICA FEDERAL.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recursos provenientes da operação de crédito a que se refere esta Lei deverão ser consignados como receita no Orçamento ou em créditos adicionais, no termos do inc. II §1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, art. 32, da Lei Complementar 101/2000.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o Chefe do Poder Executivo autorizado a abrir créditos adicionais destinados a fazer face aos pagamentos de obrigações decorrentes da operação de crédito ora autorizada.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2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LibreOffice/5.4.7.2$Windows_X86_64 LibreOffice_project/c838ef25c16710f8838b1faec480ebba495259d0</Application>
  <Pages>2</Pages>
  <Words>557</Words>
  <Characters>2946</Characters>
  <CharactersWithSpaces>3495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2019-05-07T14:24:31Z</cp:lastPrinted>
  <dcterms:modified xsi:type="dcterms:W3CDTF">2019-05-07T14:21:43Z</dcterms:modified>
  <cp:revision>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