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Senhora Vice-Presidente da Câmara Municipal,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Vereadora Marli Franke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 xml:space="preserve">VINICIUS BINDE ARBO DE ARAÚJO, Vereador da bancada PCdoB, nos termos do art. 118 do Regimento Interno da Câmara Municipal, por meio deste expediente, submete à apreciação desta Casa Legislativa, a seguinte emenda modificativa </w:t>
      </w:r>
      <w:bookmarkStart w:id="0" w:name="_GoBack"/>
      <w:bookmarkEnd w:id="0"/>
      <w:r>
        <w:rPr>
          <w:rFonts w:ascii="Arial" w:hAnsi="Arial"/>
          <w:sz w:val="24"/>
          <w:szCs w:val="24"/>
        </w:rPr>
        <w:t>ao Projeto de Lei Legislativa 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16, de 15 de agosto de 2019, de sua autoria.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Emenda Modificativa: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</w:r>
    </w:p>
    <w:p>
      <w:pPr>
        <w:pStyle w:val="Normal"/>
        <w:bidi w:val="0"/>
        <w:spacing w:lineRule="auto" w:line="240" w:before="0" w:after="0"/>
        <w:ind w:left="70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Suprime o parágrafo único do 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modifica a redação do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caput</w:t>
      </w:r>
      <w:r>
        <w:rPr>
          <w:rFonts w:ascii="Arial" w:hAnsi="Arial"/>
          <w:sz w:val="24"/>
          <w:szCs w:val="24"/>
        </w:rPr>
        <w:t xml:space="preserve"> do art.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Projeto de Lei Legislativa 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16, de 15 de agosto de 2019, que passa a ter o seguinte teor:</w:t>
      </w:r>
    </w:p>
    <w:p>
      <w:pPr>
        <w:pStyle w:val="Normal"/>
        <w:bidi w:val="0"/>
        <w:spacing w:lineRule="auto" w:line="240" w:before="0" w:after="0"/>
        <w:ind w:left="70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>
        <w:rPr>
          <w:rFonts w:cs="Arial" w:ascii="Arial" w:hAnsi="Arial"/>
          <w:color w:val="1A1A1A"/>
          <w:sz w:val="24"/>
          <w:szCs w:val="24"/>
        </w:rPr>
        <w:t>Art. 2</w:t>
      </w:r>
      <w:r>
        <w:rPr>
          <w:rFonts w:cs="Arial" w:ascii="Arial" w:hAnsi="Arial"/>
          <w:strike/>
          <w:color w:val="1A1A1A"/>
          <w:sz w:val="24"/>
          <w:szCs w:val="24"/>
        </w:rPr>
        <w:t>º</w:t>
      </w:r>
      <w:r>
        <w:rPr>
          <w:rFonts w:cs="Arial" w:ascii="Arial" w:hAnsi="Arial"/>
          <w:color w:val="1A1A1A"/>
          <w:sz w:val="24"/>
          <w:szCs w:val="24"/>
        </w:rPr>
        <w:t xml:space="preserve"> Nas edificações públicas municipais, sempre que possível, poder ser procedida a iluminação em amarelo e a aplicação do símbolo da campanha ou sinalização, alusivo ao tema, durante todo o mês de setembro.</w:t>
      </w:r>
      <w:r>
        <w:rPr>
          <w:rFonts w:cs="Arial" w:ascii="Arial" w:hAnsi="Arial"/>
          <w:sz w:val="24"/>
          <w:szCs w:val="24"/>
        </w:rPr>
        <w:t>”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emenda modificativa tem como objetivo atender à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35.505/2019, que é no sentido de ser retirado o parágrafo único do 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de ser alterado do art.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referido projeto, pois tais dispositivos apresentam conteúdo manifestamente inconstitucional.</w:t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Câmara Municipal de Três Passos, em 22 de agosto de 2019.</w:t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Vinicius Bindé Arbo de Araújo</w:t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/>
      </w:pPr>
      <w:r>
        <w:rPr>
          <w:rFonts w:ascii="Arial" w:hAnsi="Arial"/>
          <w:sz w:val="24"/>
          <w:szCs w:val="24"/>
          <w:u w:val="none"/>
        </w:rPr>
        <w:t>Vereador da Bancada do PCdoB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val="pt-BR" w:eastAsia="pt-BR"/>
      </w:rPr>
    </w:pPr>
    <w:r>
      <w:rPr>
        <w:rFonts w:cs="Arial Narrow" w:ascii="Arial Narrow" w:hAnsi="Arial Narrow"/>
        <w:sz w:val="18"/>
        <w:szCs w:val="18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rpodetexto21">
    <w:name w:val="Corpo de texto 21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SemEspaamento">
    <w:name w:val="Sem Espaçamento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Recuodecorpodetexto22">
    <w:name w:val="Recuo de corpo de texto 2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LibreOffice/5.4.7.2$Windows_X86_64 LibreOffice_project/c838ef25c16710f8838b1faec480ebba495259d0</Application>
  <Pages>1</Pages>
  <Words>222</Words>
  <Characters>1161</Characters>
  <CharactersWithSpaces>1385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2013-09-17T09:45:00Z</dcterms:created>
  <dc:creator>Câmara Municipal de Vereadores de Três Passos</dc:creator>
  <dc:description/>
  <dc:language>pt-BR</dc:language>
  <cp:lastModifiedBy/>
  <dcterms:modified xsi:type="dcterms:W3CDTF">2019-08-26T10:51:19Z</dcterms:modified>
  <cp:revision>26</cp:revision>
  <dc:subject/>
  <dc:title>Ofício nº  279/02</dc:title>
</cp:coreProperties>
</file>