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Altera a Lei Municipal 5492/2019, que autorizou abertura de crédito especial no valor de R$ 138.609,53.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Ficam alterados os arts.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da  Lei Municipal 5.492, de 27 de agosto de 2019, os quais passarão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“</w:t>
      </w:r>
      <w:r>
        <w:rPr>
          <w:rFonts w:cs="Arial"/>
          <w:sz w:val="24"/>
          <w:szCs w:val="22"/>
        </w:rPr>
        <w:t>(…) 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Autoriza a abertura de crédito especial no valor de R$ 138.609,53 (cento e trinta e oito mil, seiscentos e nove reais e cinquenta e três centavos) assim distribuídos: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Secretaria Municipal de Obras e Viação – Programa 164 – Serviços Urbanos –Proj/Ativ.2.064 –Serviços Urbanos e Manutenção de Máquinas – Elemento da despesa 4.4.71.70.00.00.00.00.0001 – Rateio a Consórcios Público.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Servirá para cobertura do crédito aberto no 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seguinte: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Ó</w:t>
      </w:r>
      <w:r>
        <w:rPr>
          <w:rFonts w:cs="Arial"/>
          <w:sz w:val="24"/>
          <w:szCs w:val="22"/>
        </w:rPr>
        <w:t>rgão 06 - Secretaria Municipal Obras e Viação, Unidade 02 – Secretaria de Obras e Viação, Proj/Ativ: 2064 – Obras de Infraestrutra Urbana, Elemento Despesa – 4.4.90.52.00.00.00.00.0001 – Equipamentos e Material Permanente -  no valor de R$ 138.609,53 (cento e trinta e oito mil, seiscentos e nove reais e cinquenta e três centavos).(...)”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demais dispositivos permanecem inalterados.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da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70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Application>LibreOffice/5.4.7.2$Windows_X86_64 LibreOffice_project/c838ef25c16710f8838b1faec480ebba495259d0</Application>
  <Pages>1</Pages>
  <Words>267</Words>
  <Characters>1431</Characters>
  <CharactersWithSpaces>1697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2019-09-17T10:25:54Z</cp:lastPrinted>
  <dcterms:modified xsi:type="dcterms:W3CDTF">2019-09-17T10:25:41Z</dcterms:modified>
  <cp:revision>113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