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 xml:space="preserve">LEI </w:t>
      </w:r>
      <w:r>
        <w:rPr>
          <w:bCs w:val="false"/>
        </w:rPr>
        <w:t>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>
          <w:sz w:val="24"/>
          <w:szCs w:val="24"/>
        </w:rPr>
        <w:t>Autoriza a abertura de crédito especial no valor de R$ 6.862,00 (seis mil, oitocentos e sessenta e dois reais).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2"/>
        </w:rPr>
        <w:t>Autoriza a abertura de crédito especial no valor de R$ 6.862,00 (seis mil, oitocentos e sessenta e dois reais) assim distribuídos: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Secretaria Municipal de Administração – Programa 0300 – Programa de Gestão, Manutenção de Serviços da Secretaria de Administração – Proj./Ativ.2.032 – Manutenção da Secretaria de Administração, Assessorias, Divisões e Setores – Elemento da despesa 4.4.90.39.94.00.00.00.0001–Aquisição de Software.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Servirá para cobertura do crédito aberto no art.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seguinte: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Órgão 03 - Secretaria Municipal de Administração, Unidade 01 – Secretaria de Administração, Proj/Ativ:  2.034 – Serviços de Publicidade, Propaganda, Comunicação e Tecnologia. Elemento Despesa – 3.3.90.40.00.00.00.00.0001 – Serviços de Tecn. Da Informação e Comunicação - PJ -  no valor de R$ 6.862,00 (seis mil, oitocentos e sessenta e dois reais).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Esta Lei entra em vigor na data da sua publicação.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/>
      </w:pPr>
      <w:r>
        <w:rPr>
          <w:rFonts w:ascii="Times New Roman" w:hAnsi="Times New Roman"/>
          <w:szCs w:val="24"/>
        </w:rPr>
        <w:t>PL 7</w:t>
      </w:r>
      <w:r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Application>LibreOffice/5.4.7.2$Windows_X86_64 LibreOffice_project/c838ef25c16710f8838b1faec480ebba495259d0</Application>
  <Pages>1</Pages>
  <Words>233</Words>
  <Characters>1330</Characters>
  <CharactersWithSpaces>1564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2019-09-24T15:20:47Z</cp:lastPrinted>
  <dcterms:modified xsi:type="dcterms:W3CDTF">2019-09-24T15:20:37Z</dcterms:modified>
  <cp:revision>125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