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2019</w:t>
      </w:r>
    </w:p>
    <w:p>
      <w:pPr>
        <w:pStyle w:val="Normal"/>
        <w:keepNext w:val="true"/>
        <w:widowControl/>
        <w:shd w:val="clear" w:color="auto" w:fill="FFFFFF"/>
        <w:bidi w:val="0"/>
        <w:spacing w:lineRule="auto" w:line="240" w:beforeAutospacing="0" w:before="300" w:afterAutospacing="0" w:after="300"/>
        <w:ind w:left="4536" w:hanging="0"/>
        <w:jc w:val="both"/>
        <w:rPr/>
      </w:pPr>
      <w:r>
        <w:rPr>
          <w:rFonts w:cs="Arial"/>
          <w:b w:val="false"/>
          <w:i w:val="false"/>
          <w:iCs w:val="false"/>
          <w:color w:val="00000A"/>
          <w:sz w:val="24"/>
          <w:szCs w:val="24"/>
        </w:rPr>
        <w:t>Autoriza a redução de Imposto Predial e Territorial Urbano – IPTU aos proprietários de imóveis que adotem medidas que estimulem a proteção, preservação e recuperação do meio ambiente.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CAPÍTULO I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Disposições Preliminares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Fica instituído no âmbito do município de Três Passos, o Programa IPTU Verde, cujo objetivo é fomentar medidas que preservem, protejam e recuperem o meio ambiente, ofertando em contrapartida benefício tributário ao contribuinte.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CAPÍTULO II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Dos requisitos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Será concedido benefício tributário, consistente em reduzir o Imposto Predial e Territorial Urbano (IPTU), aos proprietários de imóveis que adotem medidas que estimulem a proteção, preservação e recuperação do meio ambiente.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Parágrafo único. As medidas adotadas deverão ser: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I) sistema de captação da água da chuva;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II) sistema de reuso de água;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III) sistema de aquecimento hidráulico solar;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IV) sistema de aquecimento elétrico solar;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V) construções com material sustentável;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VI) utilização de energia passiva;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VII – Cultivo de espécies arbóreas nativas visando o aumento da biodiversidade no perímetro urbano.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Para efeitos desta Lei considera-se: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 - Sistema de captação da água da chuva: sistema que capte água da chuva e armazene em reservatórios para utilização do próprio imóvel;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II - Sistema de Reuso de Água: utilização, após o devido tratamento, das águas residuais provenientes do próprio imóvel, para atividades que não exijam que a mesma seja potável;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III - Sistema de aquecimento hidráulico solar: utilização de sistema de captação de energia solar térmica para aquecimento de água, com a finalidade de reduzir parcialmente, o consumo de energia elétrica na residência;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IV - Sistema de aquecimento elétrico solar: utilização de captação de energia solar térmica para reduzir parcial ou integralmente o consumo de energia elétrica da residência, integrado com o aquecimento da água;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 - Construções com material sustentável: utilização de materiais que atenuem os impactos ambientais, desde que esta característica sustentável seja comprovada mediante apresentação de selo ou certificado;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VI - Utilização de energia passiva: edificações que possuam projeto arquitetônico onde sejam especificadas dentro do mesmo, as contribuições efetivas para a economia de energia elétrica, decorrentes do aproveitamento de recursos naturais como luz solar e vento, tendo como consequência a diminuição de aparelhos mecânicos de climatização;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VII – Cultivo de espécies arbóreas nativas: o proprietário do imóvel que cultivar espécies nativas, a fim de aumentar a biodiversidade no perímetro urbano.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Os padrões técnicos mínimos para cada medida estão previstos no Anexo Único, da presente Lei.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CAPÍTULO III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Do benefício tributário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5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A título de incentivo será concedido o desconto no Imposto Predial e Territorial Urbano (IPTU), para as medidas previstas no parágrafo único, do artigo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, na seguinte proporção: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I – 7% para as medidas descritas nos incisos I e II;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II – 3% para as medidas descritas nos incisos III e VI; 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III – 11% para as medidas descritas no inciso IV;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IV – 5% a 9% para a medida descrita na alínea V;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V – 3% a 10% para a medida descrita na alínea VII.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6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 benefício tributário desta Lei não poderá exceder a 20% do Imposto Predial e Territorial Urbano (IPTU) do contribuinte.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CAPÍTULO IV 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Do Procedimento para concessão do benefício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7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 interessado em obter o benefício tributário deve protocolar o pedido devidamente justificado para a Secretaria Municipal do Meio Ambiente e Obras, até data de 30 de setembro do ano anterior em que deseja o desconto tributário, expondo à medida que aplicou em sua edificação ou terreno, instruindo o mesmo com documentos comprobatórios.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§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Para obter o incentivo fiscal, o contribuinte deverá estar em dia com suas obrigações tributárias vincendas até o dia 31 de dezembro do exercício anterior ao do protocolo.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§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As Secretarias Municipais de Meio Ambiente, Obras e Finanças designarão uma comissão responsável para analisar se as ações estão em conformidade com a presente Lei, podendo haver visita ao imóvel bem como solicitar ao interessado documentos e informações complementares para instruir parecer individual de cada imóvel.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§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Após os trabalhos da comissão de que trata o parágrafo anterior, caberá ao Secretário da Fazenda emitir parecer conclusivo acerca da concessão ou não do benefício e providências quanto ao registro no cadastro imobiliário.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§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Entendendo pela não concessão do benefício, após ciência do interessado, o processo será arquivado.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8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Aquele que obtiver o desconto referido nesta Lei, receberá o selo de “amigo do meio ambiente”, para afixar na parede de seu imóvel, sendo que sua regulamentação será feita através de Decreto.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9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Só poderão ser beneficiados pela presente Lei, os imóveis residenciais ligados à Rede de Esgoto, desde que disponível, ou que possua sistema ecológico de tratamento de esgoto, como uma fossa ecológica, onde ocorra o processo de biometanação, envolvendo a conversão anaeróbia de biomassa em metano.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10. As Secretarias Municipais de Meio Ambiente e Obras realizarão a fiscalização a fim de verificar se as medidas estão sendo aplicadas corretamente.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Art. 11. A renovação do pedido de benefício tributário deverá ser feita anualmente.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CAPÍTULO V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Da extinção do benefício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12. O Benefício será extinto quando: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 - o proprietário do imóvel inutilizar a medida que levou à concessão do desconto;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II - o interessado não fornecer as informações solicitadas pela comissão de que trata o §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do artigo 7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desta Lei.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Art. 13. A Secretaria de Finanças poderá regulamentar a presente Lei para melhor operacionalização da mesma. 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14. Esta lei entrará em vigor na data de sua publicação.</w:t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PLC 10/19.-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ÚNICO</w:t>
      </w:r>
    </w:p>
    <w:p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Exigências mínimas técnicas das medidas</w:t>
      </w:r>
    </w:p>
    <w:p>
      <w:pPr>
        <w:pStyle w:val="Corpodetexto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"/>
        <w:tblW w:w="8780" w:type="dxa"/>
        <w:jc w:val="left"/>
        <w:tblInd w:w="-10" w:type="dxa"/>
        <w:tblBorders>
          <w:top w:val="threeDEmboss" w:sz="3" w:space="0" w:color="C0C0C0"/>
          <w:left w:val="threeDEmboss" w:sz="3" w:space="0" w:color="C0C0C0"/>
          <w:bottom w:val="threeDEmboss" w:sz="3" w:space="0" w:color="C0C0C0"/>
          <w:insideH w:val="threeDEmboss" w:sz="3" w:space="0" w:color="C0C0C0"/>
        </w:tblBorders>
        <w:tblCellMar>
          <w:top w:w="36" w:type="dxa"/>
          <w:left w:w="2" w:type="dxa"/>
          <w:bottom w:w="0" w:type="dxa"/>
          <w:right w:w="9" w:type="dxa"/>
        </w:tblCellMar>
        <w:tblLook w:firstRow="1" w:noVBand="1" w:lastRow="0" w:firstColumn="1" w:lastColumn="0" w:noHBand="0" w:val="04a0"/>
      </w:tblPr>
      <w:tblGrid>
        <w:gridCol w:w="7655"/>
        <w:gridCol w:w="1124"/>
      </w:tblGrid>
      <w:tr>
        <w:trPr>
          <w:trHeight w:val="315" w:hRule="atLeast"/>
        </w:trPr>
        <w:tc>
          <w:tcPr>
            <w:tcW w:w="7655" w:type="dxa"/>
            <w:tcBorders>
              <w:top w:val="threeDEmboss" w:sz="3" w:space="0" w:color="C0C0C0"/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right="5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AÇÃO</w:t>
            </w:r>
          </w:p>
        </w:tc>
        <w:tc>
          <w:tcPr>
            <w:tcW w:w="1124" w:type="dxa"/>
            <w:tcBorders>
              <w:top w:val="threeDEmboss" w:sz="3" w:space="0" w:color="C0C0C0"/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% de desconto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Imóveis com sistema de aquecimento hidráulico solar</w:t>
            </w: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</w:t>
            </w:r>
          </w:p>
          <w:p>
            <w:pPr>
              <w:pStyle w:val="Normal"/>
              <w:spacing w:lineRule="auto" w:line="360"/>
              <w:ind w:left="7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>Placas de captação de energia solar que sejam responsáveis pelo aquecimento da água da residência.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3%</w:t>
            </w:r>
          </w:p>
        </w:tc>
      </w:tr>
      <w:tr>
        <w:trPr>
          <w:trHeight w:val="2260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right="5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bCs/>
                <w:sz w:val="24"/>
                <w:szCs w:val="24"/>
                <w:lang w:eastAsia="pt-BR" w:bidi="ar-SA"/>
              </w:rPr>
              <w:t xml:space="preserve">Potencialização da utilização de energia passiva </w:t>
            </w:r>
          </w:p>
          <w:p>
            <w:pPr>
              <w:pStyle w:val="Normal"/>
              <w:spacing w:lineRule="auto" w:line="360"/>
              <w:ind w:left="70" w:right="5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Edificações que possuam projeto arquitetônico onde sejam especificadas dentro do mesmo, as contribuições efetivas para a economia da energia elétrica, decorrentes da potencialização do uso de recursos naturais, como vento e luz solar, consequentemente reduzindo a utilização de aparelhos mecânicos de climatização.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3%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 xml:space="preserve">Construções com material sustentável </w:t>
            </w:r>
          </w:p>
          <w:p>
            <w:pPr>
              <w:pStyle w:val="Normal"/>
              <w:spacing w:lineRule="auto" w:line="360"/>
              <w:ind w:left="70" w:right="6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Utilização de materiais que atenuem os impactos ambientais, desde que comprovado mediante apresentação de certificado ou selo, em 40% a 60%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5%</w:t>
            </w:r>
          </w:p>
        </w:tc>
      </w:tr>
      <w:tr>
        <w:trPr>
          <w:trHeight w:val="1708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Imóveis com sistema de captação de água da chuva</w:t>
            </w: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</w:t>
            </w:r>
          </w:p>
          <w:p>
            <w:pPr>
              <w:pStyle w:val="Normal"/>
              <w:spacing w:lineRule="auto" w:line="360"/>
              <w:ind w:left="7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O sistema deverá possuir tubos de condução de água, a caixa d’agua deverá ter a capacidade mínima de 2.000 litros, ser tampada, e funcionar integrado ao sistema hidráulico do imóvel.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7%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Imóveis com sistema de reuso da água</w:t>
            </w: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</w:t>
            </w:r>
          </w:p>
          <w:p>
            <w:pPr>
              <w:pStyle w:val="Normal"/>
              <w:spacing w:lineRule="auto" w:line="360"/>
              <w:ind w:left="70" w:right="5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O sistema deverá funcionar integrado ao sistema hidráulico do imóvel.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7%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 xml:space="preserve">Construções com material sustentável </w:t>
            </w:r>
          </w:p>
          <w:p>
            <w:pPr>
              <w:pStyle w:val="Normal"/>
              <w:spacing w:lineRule="auto" w:line="360"/>
              <w:ind w:left="70" w:right="6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Utilização de materiais que atenuem os impactos ambientais, desde que comprovado mediante apresentação de certificado ou selo, em 61% a 80%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7%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 xml:space="preserve">Construções com material sustentável </w:t>
            </w:r>
          </w:p>
          <w:p>
            <w:pPr>
              <w:pStyle w:val="Normal"/>
              <w:spacing w:lineRule="auto" w:line="360"/>
              <w:ind w:left="70" w:right="61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Utilização de materiais que atenuem os impactos ambientais, desde que comprovado mediante apresentação de certificado ou selo, em 81% a 100% da área edificada.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9%</w:t>
            </w:r>
          </w:p>
        </w:tc>
      </w:tr>
      <w:tr>
        <w:trPr>
          <w:trHeight w:val="1156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right="5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Sistema de utilização de energia eólica</w:t>
            </w:r>
          </w:p>
          <w:p>
            <w:pPr>
              <w:pStyle w:val="Normal"/>
              <w:spacing w:lineRule="auto" w:line="360"/>
              <w:ind w:left="70" w:right="5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Deverá captar vento, através de moinhos ou cata-ventos, para produção de pelo menos 20% da energia elétrica total.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11%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ind w:left="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sz w:val="24"/>
                <w:szCs w:val="24"/>
                <w:lang w:eastAsia="pt-BR" w:bidi="ar-SA"/>
              </w:rPr>
              <w:t>Imóveis com sistema elétrico solar</w:t>
            </w:r>
          </w:p>
          <w:p>
            <w:pPr>
              <w:pStyle w:val="Normal"/>
              <w:spacing w:lineRule="auto" w:line="360"/>
              <w:ind w:left="70" w:right="61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Deverá estar integrado ao sistema de energia elétrica do imóvel e ser responsável pelo menos a 20% do seu consumo total.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11%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 w:before="0" w:after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bCs/>
                <w:sz w:val="24"/>
                <w:szCs w:val="24"/>
                <w:lang w:eastAsia="pt-BR" w:bidi="ar-SA"/>
              </w:rPr>
              <w:t>Cultivo de espécies arbóreas nativas</w:t>
            </w:r>
          </w:p>
          <w:p>
            <w:pPr>
              <w:pStyle w:val="Normal"/>
              <w:spacing w:lineRule="auto" w:line="360" w:before="0" w:after="3"/>
              <w:ind w:left="-1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O proprietário do imóvel que cultivar espécies nativas, a fim de aumentar a biodiversidade no 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perímetro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urbano. De 08 a 12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3%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 w:before="0" w:after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bCs/>
                <w:sz w:val="24"/>
                <w:szCs w:val="24"/>
                <w:lang w:eastAsia="pt-BR" w:bidi="ar-SA"/>
              </w:rPr>
              <w:t>Cultivo de espécies arbóreas nativas</w:t>
            </w:r>
          </w:p>
          <w:p>
            <w:pPr>
              <w:pStyle w:val="Normal"/>
              <w:spacing w:lineRule="auto" w:line="360" w:before="0" w:after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O proprietário do imóvel que cultivar espécies nativas, a fim de aumentar a biodiversidade no 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perímetro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urbano. De 12 a 20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5%</w:t>
            </w:r>
          </w:p>
        </w:tc>
      </w:tr>
      <w:tr>
        <w:trPr>
          <w:trHeight w:val="1432" w:hRule="atLeast"/>
        </w:trPr>
        <w:tc>
          <w:tcPr>
            <w:tcW w:w="7655" w:type="dxa"/>
            <w:tcBorders>
              <w:left w:val="threeDEmboss" w:sz="3" w:space="0" w:color="C0C0C0"/>
              <w:bottom w:val="threeDEmboss" w:sz="3" w:space="0" w:color="C0C0C0"/>
              <w:insideH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 w:before="0" w:after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b/>
                <w:bCs/>
                <w:sz w:val="24"/>
                <w:szCs w:val="24"/>
                <w:lang w:eastAsia="pt-BR" w:bidi="ar-SA"/>
              </w:rPr>
              <w:t>Cultivo de espécies arbóreas nativas</w:t>
            </w:r>
          </w:p>
          <w:p>
            <w:pPr>
              <w:pStyle w:val="Normal"/>
              <w:spacing w:lineRule="auto" w:line="360" w:before="0" w:after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O proprietário do imóvel que cultivar espécies nativas, a fim de aumentar a biodiversidade no 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perímetro</w:t>
            </w: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 xml:space="preserve"> urbano. Acima de 20 unidades. </w:t>
            </w:r>
          </w:p>
        </w:tc>
        <w:tc>
          <w:tcPr>
            <w:tcW w:w="1124" w:type="dxa"/>
            <w:tcBorders>
              <w:left w:val="threeDEmboss" w:sz="3" w:space="0" w:color="C0C0C0"/>
              <w:bottom w:val="threeDEmboss" w:sz="3" w:space="0" w:color="C0C0C0"/>
              <w:right w:val="threeDEmboss" w:sz="3" w:space="0" w:color="C0C0C0"/>
              <w:insideH w:val="threeDEmboss" w:sz="3" w:space="0" w:color="C0C0C0"/>
              <w:insideV w:val="threeDEmboss" w:sz="3" w:space="0" w:color="C0C0C0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Arial" w:ascii="Times New Roman" w:hAnsi="Times New Roman" w:eastAsiaTheme="minorEastAsia"/>
                <w:sz w:val="24"/>
                <w:szCs w:val="24"/>
                <w:lang w:eastAsia="pt-BR" w:bidi="ar-SA"/>
              </w:rPr>
              <w:t>10%</w:t>
            </w:r>
          </w:p>
        </w:tc>
      </w:tr>
    </w:tbl>
    <w:p>
      <w:pPr>
        <w:pStyle w:val="Corpodetexto"/>
        <w:ind w:firstLine="1134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LibreOffice/5.4.7.2$Windows_X86_64 LibreOffice_project/c838ef25c16710f8838b1faec480ebba495259d0</Application>
  <Pages>5</Pages>
  <Words>1345</Words>
  <Characters>7307</Characters>
  <CharactersWithSpaces>8591</CharactersWithSpaces>
  <Paragraphs>99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2019-10-15T14:39:46Z</cp:lastPrinted>
  <dcterms:modified xsi:type="dcterms:W3CDTF">2019-11-07T10:18:33Z</dcterms:modified>
  <cp:revision>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