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  <w:t>Denomina quadra de basquete do município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denominada </w:t>
      </w:r>
      <w:r>
        <w:rPr>
          <w:b/>
          <w:bCs/>
          <w:sz w:val="24"/>
          <w:szCs w:val="24"/>
        </w:rPr>
        <w:t>Quadra Municipal de Basquete Julio Cesar Schmitt – O Casarão</w:t>
      </w:r>
      <w:r>
        <w:rPr>
          <w:sz w:val="24"/>
          <w:szCs w:val="24"/>
        </w:rPr>
        <w:t xml:space="preserve"> a quadra municipal de basquete localizada no Parque de Exposições Egon Júlio Goelzer.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PLL 2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LibreOffice/5.4.7.2$Windows_X86_64 LibreOffice_project/c838ef25c16710f8838b1faec480ebba495259d0</Application>
  <Pages>1</Pages>
  <Words>131</Words>
  <Characters>695</Characters>
  <CharactersWithSpaces>821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2019-11-12T14:30:38Z</cp:lastPrinted>
  <dcterms:modified xsi:type="dcterms:W3CDTF">2019-11-12T14:32:38Z</dcterms:modified>
  <cp:revision>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