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2019</w:t>
      </w:r>
    </w:p>
    <w:p>
      <w:pPr>
        <w:pStyle w:val="Normal"/>
        <w:jc w:val="both"/>
        <w:rPr>
          <w:i/>
          <w:i/>
        </w:rPr>
      </w:pPr>
      <w:r>
        <w:rPr>
          <w:i/>
        </w:rPr>
      </w:r>
    </w:p>
    <w:p>
      <w:pPr>
        <w:pStyle w:val="Normal"/>
        <w:ind w:start="4536" w:hanging="0"/>
        <w:jc w:val="both"/>
        <w:rPr/>
      </w:pPr>
      <w:r>
        <w:rPr/>
        <w:t>D</w:t>
      </w:r>
      <w:r>
        <w:rPr/>
        <w:t>ispõe sobre a gratificação de difícil acesso e dá outras providências.</w:t>
      </w:r>
    </w:p>
    <w:p>
      <w:pPr>
        <w:pStyle w:val="Normal"/>
        <w:ind w:star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3"/>
        <w:spacing w:before="0" w:after="0"/>
        <w:ind w:firstLine="851"/>
        <w:jc w:val="both"/>
        <w:rPr>
          <w:sz w:val="24"/>
          <w:szCs w:val="24"/>
        </w:rPr>
      </w:pPr>
      <w:r>
        <w:rPr>
          <w:sz w:val="24"/>
          <w:szCs w:val="24"/>
        </w:rPr>
      </w:r>
    </w:p>
    <w:p>
      <w:pPr>
        <w:pStyle w:val="BodyText3"/>
        <w:spacing w:before="0" w:after="0"/>
        <w:ind w:firstLine="851"/>
        <w:jc w:val="both"/>
        <w:rPr/>
      </w:pPr>
      <w:r>
        <w:rPr>
          <w:sz w:val="24"/>
          <w:szCs w:val="24"/>
        </w:rPr>
        <w:t>Art. 1</w:t>
      </w:r>
      <w:r>
        <w:rPr>
          <w:strike/>
          <w:sz w:val="24"/>
          <w:szCs w:val="24"/>
        </w:rPr>
        <w:t>º</w:t>
      </w:r>
      <w:r>
        <w:rPr>
          <w:sz w:val="24"/>
          <w:szCs w:val="24"/>
        </w:rPr>
        <w:t xml:space="preserve"> Fica regulamentada a Gratificação de Difícil Acesso que será paga aos servidores ocupantes de cargo efetivo do Quadro de Pessoal, nos termos do art. 86, inciso V, da Lei Complementar n</w:t>
      </w:r>
      <w:r>
        <w:rPr>
          <w:strike/>
          <w:sz w:val="24"/>
          <w:szCs w:val="24"/>
        </w:rPr>
        <w:t>º</w:t>
      </w:r>
      <w:r>
        <w:rPr>
          <w:sz w:val="24"/>
          <w:szCs w:val="24"/>
        </w:rPr>
        <w:t xml:space="preserve"> 018, de 16 de agosto de 2011.</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w:t>
      </w:r>
      <w:r>
        <w:rPr>
          <w:strike/>
          <w:sz w:val="24"/>
          <w:szCs w:val="24"/>
        </w:rPr>
        <w:t>º</w:t>
      </w:r>
      <w:r>
        <w:rPr>
          <w:sz w:val="24"/>
          <w:szCs w:val="24"/>
        </w:rPr>
        <w:t xml:space="preserve"> São classificadas de difícil acesso ou provimento os prédios públicos municipais que apresentarem os critérios descritos abaixo, conforme a realidade de cada um:</w:t>
      </w:r>
    </w:p>
    <w:p>
      <w:pPr>
        <w:pStyle w:val="BodyText3"/>
        <w:spacing w:before="0" w:after="0"/>
        <w:ind w:firstLine="851"/>
        <w:jc w:val="both"/>
        <w:rPr/>
      </w:pPr>
      <w:r>
        <w:rPr>
          <w:sz w:val="24"/>
          <w:szCs w:val="24"/>
        </w:rPr>
        <w:t>a)  distância da sede do Executivo Municipal de 4,5 km ou mais;</w:t>
      </w:r>
    </w:p>
    <w:p>
      <w:pPr>
        <w:pStyle w:val="BodyText3"/>
        <w:spacing w:before="0" w:after="0"/>
        <w:ind w:firstLine="851"/>
        <w:jc w:val="both"/>
        <w:rPr/>
      </w:pPr>
      <w:r>
        <w:rPr>
          <w:sz w:val="24"/>
          <w:szCs w:val="24"/>
        </w:rPr>
        <w:t>b)  indisponibilidade de fornecimento, por parte do município, do transporte necessário (veículo público, transporte coletivo público, etc;);</w:t>
      </w:r>
    </w:p>
    <w:p>
      <w:pPr>
        <w:pStyle w:val="BodyText3"/>
        <w:spacing w:before="0" w:after="0"/>
        <w:ind w:firstLine="851"/>
        <w:jc w:val="both"/>
        <w:rPr/>
      </w:pPr>
      <w:r>
        <w:rPr>
          <w:sz w:val="24"/>
          <w:szCs w:val="24"/>
        </w:rPr>
        <w:t>c)  acesso das estradas vicinais de difícil trafegabilidade em dias de chuva, em distância superior a 4,5 km;</w:t>
      </w:r>
    </w:p>
    <w:p>
      <w:pPr>
        <w:pStyle w:val="BodyText3"/>
        <w:spacing w:before="0" w:after="0"/>
        <w:ind w:firstLine="851"/>
        <w:jc w:val="both"/>
        <w:rPr/>
      </w:pPr>
      <w:r>
        <w:rPr>
          <w:sz w:val="24"/>
          <w:szCs w:val="24"/>
        </w:rPr>
        <w:t xml:space="preserve">Parágrafo </w:t>
      </w:r>
      <w:r>
        <w:rPr>
          <w:sz w:val="24"/>
          <w:szCs w:val="24"/>
        </w:rPr>
        <w:t>ú</w:t>
      </w:r>
      <w:r>
        <w:rPr>
          <w:sz w:val="24"/>
          <w:szCs w:val="24"/>
        </w:rPr>
        <w:t>nico. Para fins desta lei, não serão considerados de difícil acesso:</w:t>
      </w:r>
    </w:p>
    <w:p>
      <w:pPr>
        <w:pStyle w:val="BodyText3"/>
        <w:spacing w:before="0" w:after="0"/>
        <w:ind w:firstLine="851"/>
        <w:jc w:val="both"/>
        <w:rPr/>
      </w:pPr>
      <w:r>
        <w:rPr>
          <w:sz w:val="24"/>
          <w:szCs w:val="24"/>
        </w:rPr>
        <w:t>I - Os órgãos municipais quando o servidor neles lotado já residir na mesma localidade;</w:t>
      </w:r>
    </w:p>
    <w:p>
      <w:pPr>
        <w:pStyle w:val="BodyText3"/>
        <w:spacing w:before="0" w:after="0"/>
        <w:ind w:firstLine="851"/>
        <w:jc w:val="both"/>
        <w:rPr/>
      </w:pPr>
      <w:r>
        <w:rPr>
          <w:sz w:val="24"/>
          <w:szCs w:val="24"/>
        </w:rPr>
        <w:t>II – Os locais de atuação que, mesmo distantes da sede administrativa, sejam requisito de provimento para o exercício do cargo, emprego, ou função pública, a exemplo dos Agentes Comunitários de Saúde (ACS), que por regra específica devem residir na sua área de atuação, não configurando  direito a percepção da gratificação de difícil acesso, ficando assim os ACS excluídos.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3</w:t>
      </w:r>
      <w:r>
        <w:rPr>
          <w:strike/>
          <w:sz w:val="24"/>
          <w:szCs w:val="24"/>
        </w:rPr>
        <w:t>º</w:t>
      </w:r>
      <w:r>
        <w:rPr>
          <w:sz w:val="24"/>
          <w:szCs w:val="24"/>
        </w:rPr>
        <w:t xml:space="preserve"> O servidor municipal lotado em local de difícil acesso perceberá como gratificação o valor proporcional a quilometragem diária percorrida, considerando-se o valor 0,18 URM por quilômetro rodado, tendo por base a tabela e as referências de quilometragem constante no Anexo I (tabela detalhada) desta Lei.</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4</w:t>
      </w:r>
      <w:r>
        <w:rPr>
          <w:strike/>
          <w:sz w:val="24"/>
          <w:szCs w:val="24"/>
        </w:rPr>
        <w:t>º</w:t>
      </w:r>
      <w:r>
        <w:rPr>
          <w:sz w:val="24"/>
          <w:szCs w:val="24"/>
        </w:rPr>
        <w:t xml:space="preserve"> A gratificação somente será devida enquanto o servidor estiver em efetivo exercício na unidade de difícil acesso, deixando de ser paga, automaticamente, quando cessar o exercício ou quando cessar a dificuldade, quando houver transferência de unidade, em casos de não comparecimento ao serviço (seja justificado ou não), inclusive nos casos em que houver apresentação de atestado médico.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5</w:t>
      </w:r>
      <w:r>
        <w:rPr>
          <w:strike/>
          <w:sz w:val="24"/>
          <w:szCs w:val="24"/>
        </w:rPr>
        <w:t>º</w:t>
      </w:r>
      <w:r>
        <w:rPr>
          <w:sz w:val="24"/>
          <w:szCs w:val="24"/>
        </w:rPr>
        <w:t xml:space="preserve"> A chefia imediata do servidor deverá comunicar ao Divisão de Recursos Humanos, quando do início, interrupção e termino de suas atividades no local de difícil acesso, sob pena de responsabilidade administrativa.</w:t>
      </w:r>
    </w:p>
    <w:p>
      <w:pPr>
        <w:pStyle w:val="BodyText3"/>
        <w:spacing w:before="0" w:after="0"/>
        <w:ind w:firstLine="851"/>
        <w:jc w:val="both"/>
        <w:rPr/>
      </w:pPr>
      <w:r>
        <w:rPr>
          <w:sz w:val="24"/>
          <w:szCs w:val="24"/>
        </w:rPr>
        <w:t>Parágrafo único.</w:t>
      </w:r>
      <w:r>
        <w:rPr>
          <w:sz w:val="24"/>
          <w:szCs w:val="24"/>
        </w:rPr>
        <w:t xml:space="preserve"> Para fins de recebimento de difícil acesso faz-se necessária a comprovação do endereço do servidor, junto a Divisão de Recursos Humanos, por meio de comprovante e/ou declaração de residência, ficando sujeito a aplicação das penalidades legalmente previstas aos casos de prestação de falsas informações.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6</w:t>
      </w:r>
      <w:r>
        <w:rPr>
          <w:strike/>
          <w:sz w:val="24"/>
          <w:szCs w:val="24"/>
        </w:rPr>
        <w:t>º</w:t>
      </w:r>
      <w:r>
        <w:rPr>
          <w:sz w:val="24"/>
          <w:szCs w:val="24"/>
        </w:rPr>
        <w:t xml:space="preserve"> A Gratificação de Difícil Acesso não se incorporará aos vencimentos para qualquer efeito, e sobre ela não incidirá para fins de contribuição previdenciária e/ou proventos de aposentadoria, ou mesmo qualquer vantagem a que se faça jus ao servidor, vedada, assim, sua utilização sob qualquer forma, para cálculo simultâneo que importe em acréscimo de outra vantagem pecuniária, como base de cálculo de licença prêmio, férias e gratificação natalina.</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7</w:t>
      </w:r>
      <w:r>
        <w:rPr>
          <w:strike/>
          <w:sz w:val="24"/>
          <w:szCs w:val="24"/>
        </w:rPr>
        <w:t>º</w:t>
      </w:r>
      <w:r>
        <w:rPr>
          <w:sz w:val="24"/>
          <w:szCs w:val="24"/>
        </w:rPr>
        <w:t xml:space="preserve"> As despesas decorrentes da execução desta Lei, correrão por conta das dotações próprias do orçamento.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8</w:t>
      </w:r>
      <w:r>
        <w:rPr>
          <w:strike/>
          <w:sz w:val="24"/>
          <w:szCs w:val="24"/>
        </w:rPr>
        <w:t>º</w:t>
      </w:r>
      <w:r>
        <w:rPr>
          <w:sz w:val="24"/>
          <w:szCs w:val="24"/>
        </w:rPr>
        <w:t xml:space="preserve"> Esta Lei entra em vigor na data de sua publicação.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9</w:t>
      </w:r>
      <w:r>
        <w:rPr>
          <w:strike/>
          <w:sz w:val="24"/>
          <w:szCs w:val="24"/>
        </w:rPr>
        <w:t>º</w:t>
      </w:r>
      <w:r>
        <w:rPr>
          <w:sz w:val="24"/>
          <w:szCs w:val="24"/>
        </w:rPr>
        <w:t xml:space="preserve"> Ficam revogadas as Leis Municipais 3.851, de 1</w:t>
      </w:r>
      <w:r>
        <w:rPr>
          <w:strike/>
          <w:sz w:val="24"/>
          <w:szCs w:val="24"/>
        </w:rPr>
        <w:t>º</w:t>
      </w:r>
      <w:r>
        <w:rPr>
          <w:sz w:val="24"/>
          <w:szCs w:val="24"/>
        </w:rPr>
        <w:t xml:space="preserve"> de julho de 2004, 4.299, de 17 de novembro de 2009.</w:t>
      </w:r>
    </w:p>
    <w:p>
      <w:pPr>
        <w:pStyle w:val="BodyText3"/>
        <w:spacing w:before="0" w:after="0"/>
        <w:ind w:firstLine="851"/>
        <w:jc w:val="both"/>
        <w:rPr>
          <w:rFonts w:cs="Arial"/>
          <w:sz w:val="24"/>
          <w:szCs w:val="22"/>
        </w:rPr>
      </w:pPr>
      <w:r>
        <w:rPr/>
      </w:r>
    </w:p>
    <w:p>
      <w:pPr>
        <w:pStyle w:val="BodyText3"/>
        <w:spacing w:before="0" w:after="0"/>
        <w:ind w:firstLine="851"/>
        <w:jc w:val="both"/>
        <w:rPr>
          <w:szCs w:val="24"/>
        </w:rPr>
      </w:pPr>
      <w:r>
        <w:rPr>
          <w:szCs w:val="24"/>
        </w:rPr>
      </w:r>
    </w:p>
    <w:p>
      <w:pPr>
        <w:pStyle w:val="BodyText3"/>
        <w:spacing w:before="0" w:after="0"/>
        <w:ind w:firstLine="851"/>
        <w:jc w:val="both"/>
        <w:rPr>
          <w:szCs w:val="24"/>
        </w:rPr>
      </w:pPr>
      <w:r>
        <w:rPr>
          <w:szCs w:val="24"/>
        </w:rPr>
      </w:r>
    </w:p>
    <w:p>
      <w:pPr>
        <w:pStyle w:val="BodyText3"/>
        <w:ind w:firstLine="851"/>
        <w:jc w:val="both"/>
        <w:rPr>
          <w:szCs w:val="24"/>
        </w:rPr>
      </w:pPr>
      <w:r>
        <w:rPr>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PL 9</w:t>
      </w:r>
      <w:r>
        <w:rPr>
          <w:rFonts w:ascii="Times New Roman" w:hAnsi="Times New Roman"/>
          <w:szCs w:val="24"/>
        </w:rPr>
        <w:t>5</w:t>
      </w:r>
      <w:r>
        <w:rPr>
          <w:rFonts w:ascii="Times New Roman" w:hAnsi="Times New Roman"/>
          <w:szCs w:val="24"/>
        </w:rPr>
        <w:t>/19.-</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NormalWeb"/>
        <w:widowControl w:val="false"/>
        <w:spacing w:lineRule="auto" w:line="276"/>
        <w:jc w:val="center"/>
        <w:rPr>
          <w:rFonts w:ascii="Times New Roman" w:hAnsi="Times New Roman"/>
        </w:rPr>
      </w:pPr>
      <w:r>
        <w:rPr>
          <w:rFonts w:eastAsia="Arial Unicode MS" w:cs="Arial" w:ascii="Times New Roman" w:hAnsi="Times New Roman"/>
          <w:b/>
          <w:sz w:val="36"/>
          <w:szCs w:val="22"/>
        </w:rPr>
        <w:t>ANEXO I</w:t>
      </w:r>
    </w:p>
    <w:p>
      <w:pPr>
        <w:pStyle w:val="NormalWeb"/>
        <w:widowControl w:val="false"/>
        <w:spacing w:lineRule="auto" w:line="276"/>
        <w:jc w:val="center"/>
        <w:rPr>
          <w:rFonts w:eastAsia="Arial Unicode MS" w:cs="Arial"/>
          <w:b/>
          <w:b/>
          <w:sz w:val="36"/>
          <w:szCs w:val="22"/>
        </w:rPr>
      </w:pPr>
      <w:r>
        <w:rPr>
          <w:rFonts w:ascii="Times New Roman" w:hAnsi="Times New Roman"/>
        </w:rPr>
      </w:r>
    </w:p>
    <w:tbl>
      <w:tblPr>
        <w:tblStyle w:val="Tabelacomgrade"/>
        <w:tblpPr w:bottomFromText="0" w:horzAnchor="margin" w:leftFromText="141" w:rightFromText="141" w:tblpX="0" w:tblpY="3916" w:topFromText="0" w:vertAnchor="page"/>
        <w:tblW w:w="9209" w:type="dxa"/>
        <w:jc w:val="start"/>
        <w:tblInd w:w="0" w:type="dxa"/>
        <w:tblCellMar>
          <w:top w:w="0" w:type="dxa"/>
          <w:start w:w="103" w:type="dxa"/>
          <w:bottom w:w="0" w:type="dxa"/>
          <w:end w:w="108" w:type="dxa"/>
        </w:tblCellMar>
        <w:tblLook w:firstRow="1" w:noVBand="1" w:lastRow="0" w:firstColumn="1" w:lastColumn="0" w:noHBand="0" w:val="04a0"/>
      </w:tblPr>
      <w:tblGrid>
        <w:gridCol w:w="3255"/>
        <w:gridCol w:w="1984"/>
        <w:gridCol w:w="1985"/>
        <w:gridCol w:w="1984"/>
      </w:tblGrid>
      <w:tr>
        <w:trPr/>
        <w:tc>
          <w:tcPr>
            <w:tcW w:w="3255"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b/>
                <w:sz w:val="22"/>
              </w:rPr>
              <w:t>Local de Origem</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b/>
                <w:sz w:val="22"/>
              </w:rPr>
              <w:t xml:space="preserve">Distância da Sede Administrativa </w:t>
            </w:r>
          </w:p>
        </w:tc>
        <w:tc>
          <w:tcPr>
            <w:tcW w:w="1985"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b/>
                <w:sz w:val="22"/>
              </w:rPr>
              <w:t xml:space="preserve">Valor estimado em URMs/Dia </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b/>
                <w:sz w:val="22"/>
              </w:rPr>
              <w:t>Valor/Mês em reais</w:t>
            </w:r>
          </w:p>
          <w:p>
            <w:pPr>
              <w:pStyle w:val="NormalWeb"/>
              <w:widowControl w:val="false"/>
              <w:spacing w:before="0" w:after="0"/>
              <w:jc w:val="center"/>
              <w:rPr>
                <w:rFonts w:ascii="Times New Roman" w:hAnsi="Times New Roman" w:eastAsia="Arial Unicode MS" w:cs="Arial"/>
                <w:b/>
                <w:b/>
                <w:sz w:val="22"/>
              </w:rPr>
            </w:pPr>
            <w:r>
              <w:rPr>
                <w:rFonts w:eastAsia="Arial Unicode MS" w:cs="Arial" w:ascii="Times New Roman" w:hAnsi="Times New Roman"/>
                <w:b/>
                <w:sz w:val="22"/>
              </w:rPr>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ESF BELA VISTA</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4,8 KM¹</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 xml:space="preserve"> </w:t>
            </w:r>
            <w:r>
              <w:rPr>
                <w:rFonts w:eastAsia="Arial Unicode MS" w:cs="Arial" w:ascii="Times New Roman" w:hAnsi="Times New Roman"/>
                <w:sz w:val="22"/>
              </w:rPr>
              <w:t>3,44 URMs/ Dia</w:t>
            </w:r>
          </w:p>
          <w:p>
            <w:pPr>
              <w:pStyle w:val="NormalWeb"/>
              <w:widowControl w:val="false"/>
              <w:spacing w:lineRule="auto" w:line="276" w:before="0" w:after="0"/>
              <w:rPr>
                <w:rFonts w:ascii="Times New Roman" w:hAnsi="Times New Roman" w:eastAsia="Arial Unicode MS" w:cs="Arial"/>
                <w:sz w:val="22"/>
              </w:rPr>
            </w:pPr>
            <w:r>
              <w:rPr>
                <w:rFonts w:eastAsia="Arial Unicode MS" w:cs="Arial" w:ascii="Times New Roman" w:hAnsi="Times New Roman"/>
                <w:sz w:val="22"/>
              </w:rPr>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R$ 359,48</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ESF PADRE GONZALES</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6,2 KM¹</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 xml:space="preserve">4,46 URMs/Dia </w:t>
            </w:r>
          </w:p>
          <w:p>
            <w:pPr>
              <w:pStyle w:val="NormalWeb"/>
              <w:widowControl w:val="false"/>
              <w:spacing w:lineRule="auto" w:line="276" w:before="0" w:after="0"/>
              <w:rPr>
                <w:rFonts w:ascii="Times New Roman" w:hAnsi="Times New Roman" w:eastAsia="Arial Unicode MS" w:cs="Arial"/>
                <w:sz w:val="22"/>
              </w:rPr>
            </w:pPr>
            <w:r>
              <w:rPr>
                <w:rFonts w:eastAsia="Arial Unicode MS" w:cs="Arial" w:ascii="Times New Roman" w:hAnsi="Times New Roman"/>
                <w:sz w:val="22"/>
              </w:rPr>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R$ 466,06</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UNIDADE AVANÇADA DA FLORESTA³</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15,2 KM¹</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10,94 URMs/Dia</w:t>
            </w:r>
          </w:p>
          <w:p>
            <w:pPr>
              <w:pStyle w:val="NormalWeb"/>
              <w:widowControl w:val="false"/>
              <w:spacing w:lineRule="auto" w:line="276" w:before="0" w:after="0"/>
              <w:rPr>
                <w:rFonts w:ascii="Times New Roman" w:hAnsi="Times New Roman" w:eastAsia="Arial Unicode MS" w:cs="Arial"/>
                <w:sz w:val="22"/>
              </w:rPr>
            </w:pPr>
            <w:r>
              <w:rPr>
                <w:rFonts w:eastAsia="Arial Unicode MS" w:cs="Arial" w:ascii="Times New Roman" w:hAnsi="Times New Roman"/>
                <w:sz w:val="22"/>
              </w:rPr>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R$ 1.143,22</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UNIDADE AVANÇADA DA BARRA DA ROMANA³</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11 KM¹</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7,92  URMs/Dia</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R$ 827,64</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ESCOLA MUNICIPAL BISPO PEDRO FERNANDES SARDINHA</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15 KM²</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5,40 URMs/Dia</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R$ 564,30</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ESCOLA MUNICIPAL WALLY ELLISA HARTMANN</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12 KM²</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 xml:space="preserve">4,32 URMs /Dia </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R$ 451,44</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ESCOLA MUNICIPAL DE EDUCAÇÃO INFANTIL VOVÓ PAULINA</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6,2 KM²</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1,72 URMs/ Dia</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R$ 179,74</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ESCOLA MUNICIPAL GUIA LOPES</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15 KM²</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5,40 URMs/ Dia</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R$ 564,30</w:t>
            </w:r>
          </w:p>
        </w:tc>
      </w:tr>
      <w:tr>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ESCOLA DOM JOÃO BECKER</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11,5 KM²</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4,14 URMs/Dia</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R$ 432,63</w:t>
            </w:r>
          </w:p>
        </w:tc>
      </w:tr>
      <w:tr>
        <w:trPr>
          <w:trHeight w:val="70" w:hRule="atLeast"/>
        </w:trPr>
        <w:tc>
          <w:tcPr>
            <w:tcW w:w="325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ESCOLA COROINHA DARONCH</w:t>
            </w:r>
          </w:p>
        </w:tc>
        <w:tc>
          <w:tcPr>
            <w:tcW w:w="1984"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4,5 KM²</w:t>
            </w:r>
          </w:p>
        </w:tc>
        <w:tc>
          <w:tcPr>
            <w:tcW w:w="1985" w:type="dxa"/>
            <w:tcBorders/>
            <w:shd w:fill="auto" w:val="clear"/>
            <w:tcMar>
              <w:start w:w="103" w:type="dxa"/>
            </w:tcMar>
          </w:tcPr>
          <w:p>
            <w:pPr>
              <w:pStyle w:val="NormalWeb"/>
              <w:widowControl w:val="false"/>
              <w:spacing w:lineRule="auto" w:line="276" w:before="0" w:after="0"/>
              <w:rPr>
                <w:rFonts w:ascii="Times New Roman" w:hAnsi="Times New Roman"/>
              </w:rPr>
            </w:pPr>
            <w:r>
              <w:rPr>
                <w:rFonts w:eastAsia="Arial Unicode MS" w:cs="Arial" w:ascii="Times New Roman" w:hAnsi="Times New Roman"/>
                <w:sz w:val="22"/>
              </w:rPr>
              <w:t>1,62 URMs/Dia</w:t>
            </w:r>
          </w:p>
        </w:tc>
        <w:tc>
          <w:tcPr>
            <w:tcW w:w="1984" w:type="dxa"/>
            <w:tcBorders/>
            <w:shd w:fill="auto" w:val="clear"/>
            <w:tcMar>
              <w:start w:w="103" w:type="dxa"/>
            </w:tcMar>
          </w:tcPr>
          <w:p>
            <w:pPr>
              <w:pStyle w:val="NormalWeb"/>
              <w:widowControl w:val="false"/>
              <w:spacing w:lineRule="auto" w:line="276" w:before="0" w:after="0"/>
              <w:jc w:val="center"/>
              <w:rPr>
                <w:rFonts w:ascii="Times New Roman" w:hAnsi="Times New Roman"/>
              </w:rPr>
            </w:pPr>
            <w:r>
              <w:rPr>
                <w:rFonts w:eastAsia="Arial Unicode MS" w:cs="Arial" w:ascii="Times New Roman" w:hAnsi="Times New Roman"/>
                <w:sz w:val="22"/>
              </w:rPr>
              <w:t>R$ 169,29</w:t>
            </w:r>
          </w:p>
        </w:tc>
      </w:tr>
    </w:tbl>
    <w:p>
      <w:pPr>
        <w:pStyle w:val="NormalWeb"/>
        <w:widowControl w:val="false"/>
        <w:spacing w:lineRule="auto" w:line="276"/>
        <w:jc w:val="center"/>
        <w:rPr>
          <w:rFonts w:ascii="Times New Roman" w:hAnsi="Times New Roman" w:eastAsia="Arial Unicode MS" w:cs="Arial"/>
          <w:b/>
          <w:b/>
          <w:sz w:val="20"/>
          <w:szCs w:val="22"/>
        </w:rPr>
      </w:pPr>
      <w:r>
        <w:rPr>
          <w:rFonts w:eastAsia="Arial Unicode MS" w:cs="Arial" w:ascii="Times New Roman" w:hAnsi="Times New Roman"/>
          <w:b/>
          <w:sz w:val="20"/>
          <w:szCs w:val="22"/>
        </w:rPr>
      </w:r>
    </w:p>
    <w:p>
      <w:pPr>
        <w:pStyle w:val="NormalWeb"/>
        <w:widowControl w:val="false"/>
        <w:spacing w:lineRule="auto" w:line="276"/>
        <w:jc w:val="center"/>
        <w:rPr>
          <w:rFonts w:ascii="Times New Roman" w:hAnsi="Times New Roman" w:eastAsia="Arial Unicode MS" w:cs="Arial"/>
          <w:sz w:val="20"/>
          <w:szCs w:val="22"/>
        </w:rPr>
      </w:pPr>
      <w:r>
        <w:rPr>
          <w:rFonts w:eastAsia="Arial Unicode MS" w:cs="Arial" w:ascii="Times New Roman" w:hAnsi="Times New Roman"/>
          <w:sz w:val="20"/>
          <w:szCs w:val="22"/>
        </w:rPr>
      </w:r>
    </w:p>
    <w:p>
      <w:pPr>
        <w:pStyle w:val="NormalWeb"/>
        <w:widowControl w:val="false"/>
        <w:spacing w:lineRule="auto" w:line="276"/>
        <w:rPr>
          <w:rFonts w:ascii="Times New Roman" w:hAnsi="Times New Roman"/>
        </w:rPr>
      </w:pPr>
      <w:r>
        <w:rPr>
          <w:rFonts w:eastAsia="Arial Unicode MS" w:cs="Arial" w:ascii="Times New Roman" w:hAnsi="Times New Roman"/>
          <w:b/>
          <w:sz w:val="20"/>
          <w:szCs w:val="22"/>
        </w:rPr>
        <w:t>¹* Considerando 22 dias e dois percursos de ida e dois percursos de volta (dois turnos)</w:t>
      </w:r>
    </w:p>
    <w:p>
      <w:pPr>
        <w:pStyle w:val="NormalWeb"/>
        <w:widowControl w:val="false"/>
        <w:spacing w:lineRule="auto" w:line="276"/>
        <w:rPr>
          <w:rFonts w:ascii="Times New Roman" w:hAnsi="Times New Roman"/>
        </w:rPr>
      </w:pPr>
      <w:r>
        <w:rPr>
          <w:rFonts w:eastAsia="Arial Unicode MS" w:cs="Arial" w:ascii="Times New Roman" w:hAnsi="Times New Roman"/>
          <w:b/>
          <w:sz w:val="20"/>
          <w:szCs w:val="22"/>
        </w:rPr>
        <w:t>² *Considerando 22 dias e um percurso de ida e um de volta (um turno)</w:t>
      </w:r>
    </w:p>
    <w:p>
      <w:pPr>
        <w:pStyle w:val="NormalWeb"/>
        <w:widowControl w:val="false"/>
        <w:spacing w:lineRule="auto" w:line="276"/>
        <w:jc w:val="both"/>
        <w:rPr>
          <w:rFonts w:ascii="Times New Roman" w:hAnsi="Times New Roman"/>
        </w:rPr>
      </w:pPr>
      <w:r>
        <w:rPr>
          <w:rFonts w:eastAsia="Arial Unicode MS" w:cs="Arial" w:ascii="Times New Roman" w:hAnsi="Times New Roman"/>
          <w:b/>
          <w:sz w:val="20"/>
          <w:szCs w:val="22"/>
        </w:rPr>
        <w:t>³* Atualmente é fornecido transporte público dos ESFs até as respectivas unidades, como é o caso d</w:t>
      </w:r>
      <w:r>
        <w:rPr>
          <w:rFonts w:eastAsia="Arial Unicode MS" w:cs="Arial" w:ascii="Times New Roman" w:hAnsi="Times New Roman"/>
          <w:sz w:val="20"/>
          <w:szCs w:val="22"/>
        </w:rPr>
        <w:t>os profissionais da Unidade Avançada da Floresta e Unidade Avançada da Barra da Romana, que tem disponível pela prefeitura transporte até a sua unidade de trabalho. Caso a prefeitura vier a cancelar o transporte até esses locais, os profissionais que trabalharem nessas unidades e não residirem no local, passarão a ter o direito de recebimento da gratificação de difícil acesso.</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Times New Roman">
    <w:charset w:val="01"/>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4">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Application>LibreOffice/5.4.7.2$Windows_X86_64 LibreOffice_project/c838ef25c16710f8838b1faec480ebba495259d0</Application>
  <Pages>3</Pages>
  <Words>842</Words>
  <Characters>4388</Characters>
  <CharactersWithSpaces>5160</CharactersWithSpaces>
  <Paragraphs>73</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2019-12-03T10:45:43Z</cp:lastPrinted>
  <dcterms:modified xsi:type="dcterms:W3CDTF">2019-12-03T10:45:16Z</dcterms:modified>
  <cp:revision>164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