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left="4535" w:right="0" w:hanging="0"/>
        <w:jc w:val="both"/>
        <w:rPr/>
      </w:pPr>
      <w:r>
        <w:rPr/>
        <w:t>Institui o Programa Uniforme Escolar Solidário nas escolas da Rede Municipal de Ensino do Município de Três Passos.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instituído o Programa Uniforme Escolar Solidário nas escolas da Rede Municipal de Ensino do Município de Três Passos.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programa objetiva autorizar o recebimento de uniformes usados pelas escolas, nos casos em que o aluno deixar de frequentar a rede municipal de ensino ou o uniforme tornar-se pequeno devido ao crescimento físico do aluno.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Os uniformes arrecadados serão entregues aos alunos que necessitem a substituição do uniforme anteriormente recebido em decorrência de possível extravio ou avaria que comprometa o seu uso.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aluno não será obrigado a fazer a devolução do uniforme recebido por meio do Programa Uniforme Escolar Solidário, ficando a critério de cada família colaborar com o programa e ensinar aos filhos sobre ser solidário.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da sua promulgação.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24/19.-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LibreOffice/5.4.7.2$Windows_X86_64 LibreOffice_project/c838ef25c16710f8838b1faec480ebba495259d0</Application>
  <Pages>1</Pages>
  <Words>240</Words>
  <Characters>1255</Characters>
  <CharactersWithSpaces>1486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2019-12-03T11:08:17Z</cp:lastPrinted>
  <dcterms:modified xsi:type="dcterms:W3CDTF">2019-12-03T11:22:30Z</dcterms:modified>
  <cp:revision>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