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Dispõe sobre a alteração da Lei Municipal n</w:t>
      </w:r>
      <w:r>
        <w:rPr>
          <w:strike/>
        </w:rPr>
        <w:t>º</w:t>
      </w:r>
      <w:r>
        <w:rPr/>
        <w:t xml:space="preserve"> 5463, de 04 de junho de 2019.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o Poder Executivo Municipal a proceder na alteração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5463, de 04 de junho de 2019, a qual passará a viger com a seguinte redação: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Autoriza o Poder Executivo Municipal a proceder na contratação emergencial de 04 (quatro) enfermeiros.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(...)”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o Poder Executivo autorizado a contratar, em caráter emergencial, para atender necessidade temporária e por total interesse do serviço público, conforme inciso IX do artigo 37 da Constituição Federal, 04 (quatro) enfermeiros.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(...)”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</w:t>
      </w:r>
      <w:r>
        <w:rPr>
          <w:sz w:val="24"/>
          <w:szCs w:val="24"/>
        </w:rPr>
        <w:t>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ficando revogadas as disposições em contrário.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10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LibreOffice/5.4.7.2$Windows_X86_64 LibreOffice_project/c838ef25c16710f8838b1faec480ebba495259d0</Application>
  <Pages>1</Pages>
  <Words>200</Words>
  <Characters>1050</Characters>
  <CharactersWithSpaces>1240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2019-12-16T09:44:45Z</cp:lastPrinted>
  <dcterms:modified xsi:type="dcterms:W3CDTF">2019-12-16T09:44:40Z</dcterms:modified>
  <cp:revision>181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