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start="4536" w:hanging="0"/>
        <w:jc w:val="both"/>
        <w:rPr/>
      </w:pPr>
      <w:r>
        <w:rPr/>
        <w:t>Altera a Lei Municipal 5.370, de 11 de setembro de 2018, que dispõe sobre as diretrizes orçamentárias para o exercício financeiro de 2019.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Fica alterado o art. 38 da Lei Municipal </w:t>
      </w:r>
      <w:r>
        <w:rPr>
          <w:sz w:val="24"/>
          <w:szCs w:val="24"/>
        </w:rPr>
        <w:t>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5.370, de 11 de setembro de 2018, que dispõe  sobre as </w:t>
      </w:r>
      <w:r>
        <w:rPr>
          <w:sz w:val="24"/>
          <w:szCs w:val="24"/>
        </w:rPr>
        <w:t>d</w:t>
      </w:r>
      <w:r>
        <w:rPr>
          <w:sz w:val="24"/>
          <w:szCs w:val="24"/>
        </w:rPr>
        <w:t>iretrizes orçamentárias para o exercício financeiro de 2019, o qual passará a viger com a seguinte redação: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sz w:val="24"/>
          <w:szCs w:val="24"/>
        </w:rPr>
        <w:t>“</w:t>
      </w:r>
      <w:r>
        <w:rPr>
          <w:sz w:val="24"/>
          <w:szCs w:val="24"/>
        </w:rPr>
        <w:t>(…)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sz w:val="24"/>
          <w:szCs w:val="24"/>
        </w:rPr>
        <w:t>Art. 38. Observado o disposto no art. 27 da Lei Complementar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101/2000, a concessão de empréstimos e financiamentos destinados a pessoas físicas e jurídicas fica condicionada ao pagamento com atualização monetária e, também, às seguintes exigências: 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sz w:val="24"/>
          <w:szCs w:val="24"/>
        </w:rPr>
        <w:t>(...)”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As demais disposições permanecem inalteradas.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3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Esta lei entra em vigor na data de sua publicação.</w:t>
      </w:r>
    </w:p>
    <w:p>
      <w:pPr>
        <w:pStyle w:val="BodyText3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BodyText3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BodyText3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/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/>
      </w:pPr>
      <w:r>
        <w:rPr>
          <w:rFonts w:ascii="Times New Roman" w:hAnsi="Times New Roman"/>
          <w:szCs w:val="24"/>
        </w:rPr>
        <w:t>PL 10</w:t>
      </w:r>
      <w:r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>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 w:customStyle="1">
    <w:name w:val="ListLabel 1"/>
    <w:qFormat/>
    <w:rPr>
      <w:b/>
      <w:i w:val="false"/>
      <w:sz w:val="22"/>
    </w:rPr>
  </w:style>
  <w:style w:type="character" w:styleId="ListLabel2" w:customStyle="1">
    <w:name w:val="ListLabel 2"/>
    <w:qFormat/>
    <w:rPr>
      <w:b/>
      <w:u w:val="single"/>
    </w:rPr>
  </w:style>
  <w:style w:type="character" w:styleId="ListLabel3" w:customStyle="1">
    <w:name w:val="ListLabel 3"/>
    <w:qFormat/>
    <w:rPr>
      <w:b/>
      <w:i w:val="false"/>
    </w:rPr>
  </w:style>
  <w:style w:type="character" w:styleId="ListLabel4" w:customStyle="1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Application>LibreOffice/5.4.7.2$Windows_X86_64 LibreOffice_project/c838ef25c16710f8838b1faec480ebba495259d0</Application>
  <Pages>1</Pages>
  <Words>204</Words>
  <Characters>1067</Characters>
  <CharactersWithSpaces>1263</CharactersWithSpaces>
  <Paragraphs>15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2019-12-16T09:49:34Z</cp:lastPrinted>
  <dcterms:modified xsi:type="dcterms:W3CDTF">2019-12-16T09:55:01Z</dcterms:modified>
  <cp:revision>185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