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84" w:rsidRPr="005729C1" w:rsidRDefault="000F3A58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 wp14:anchorId="14D40EF0" wp14:editId="264DCD2E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>nto ao Processo de Contas do Municípi</w:t>
      </w:r>
      <w:r w:rsidR="004C2998">
        <w:rPr>
          <w:bCs/>
        </w:rPr>
        <w:t xml:space="preserve">o referente ao exercício </w:t>
      </w:r>
      <w:r w:rsidR="00E176B1">
        <w:rPr>
          <w:bCs/>
        </w:rPr>
        <w:t>de 2018</w:t>
      </w:r>
      <w:r w:rsidR="003D24B1">
        <w:rPr>
          <w:bCs/>
        </w:rPr>
        <w:t xml:space="preserve">. </w:t>
      </w:r>
    </w:p>
    <w:p w:rsidR="00A1436D" w:rsidRDefault="00A1436D" w:rsidP="00A1436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O Tribunal de Contas do Rio Grande do Sul (TCE/RS) remeteu a esta Casa Legislativa o Proce</w:t>
      </w:r>
      <w:r w:rsidR="000E748A">
        <w:rPr>
          <w:bCs/>
        </w:rPr>
        <w:t>sso de Contas nº</w:t>
      </w:r>
      <w:r w:rsidR="00E176B1">
        <w:rPr>
          <w:bCs/>
        </w:rPr>
        <w:t>001650-0200/18-8, relativo ao exercício de 2018</w:t>
      </w:r>
      <w:r>
        <w:rPr>
          <w:bCs/>
        </w:rPr>
        <w:t xml:space="preserve">, sendo que o parecer emitido </w:t>
      </w:r>
      <w:r w:rsidR="007431E8">
        <w:rPr>
          <w:bCs/>
        </w:rPr>
        <w:t xml:space="preserve">neste </w:t>
      </w:r>
      <w:r>
        <w:rPr>
          <w:bCs/>
        </w:rPr>
        <w:t>foi li</w:t>
      </w:r>
      <w:r w:rsidR="00E176B1">
        <w:rPr>
          <w:bCs/>
        </w:rPr>
        <w:t>do na sessão ordinária do dia 10/02/2020</w:t>
      </w:r>
      <w:r>
        <w:rPr>
          <w:bCs/>
        </w:rPr>
        <w:t>, oportunizando, dessa forma, a discussão prévia do mesmo</w:t>
      </w:r>
      <w:r w:rsidR="007431E8">
        <w:rPr>
          <w:bCs/>
        </w:rPr>
        <w:t xml:space="preserve"> aos Vereadores presentes na ocasião. </w:t>
      </w:r>
    </w:p>
    <w:p w:rsidR="004C2998" w:rsidRDefault="00A1436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Conforme consta no</w:t>
      </w:r>
      <w:r w:rsidR="007431E8">
        <w:rPr>
          <w:bCs/>
        </w:rPr>
        <w:t>s</w:t>
      </w:r>
      <w:r w:rsidR="00E176B1">
        <w:rPr>
          <w:bCs/>
        </w:rPr>
        <w:t xml:space="preserve"> autos do referido processo, o Relator </w:t>
      </w:r>
      <w:proofErr w:type="spellStart"/>
      <w:r w:rsidR="00E176B1">
        <w:t>Estilac</w:t>
      </w:r>
      <w:proofErr w:type="spellEnd"/>
      <w:r w:rsidR="00E176B1">
        <w:t xml:space="preserve"> Xavier</w:t>
      </w:r>
      <w:r w:rsidR="00F93DE8">
        <w:rPr>
          <w:bCs/>
        </w:rPr>
        <w:t>, assim</w:t>
      </w:r>
      <w:r w:rsidR="004C2998">
        <w:rPr>
          <w:bCs/>
        </w:rPr>
        <w:t xml:space="preserve"> decidiu a respeito</w:t>
      </w:r>
      <w:r w:rsidR="00E176B1">
        <w:rPr>
          <w:bCs/>
        </w:rPr>
        <w:t xml:space="preserve"> das contas do exercício de 2018</w:t>
      </w:r>
      <w:r w:rsidR="00175CFB">
        <w:rPr>
          <w:bCs/>
        </w:rPr>
        <w:t>:</w:t>
      </w:r>
    </w:p>
    <w:p w:rsidR="006D01B5" w:rsidRDefault="006D01B5" w:rsidP="006D2484">
      <w:pPr>
        <w:pStyle w:val="Recuodecorpodetexto"/>
        <w:ind w:left="-142" w:firstLine="850"/>
        <w:jc w:val="both"/>
        <w:rPr>
          <w:bCs/>
        </w:rPr>
      </w:pP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  <w:r w:rsidRPr="00E176B1">
        <w:rPr>
          <w:sz w:val="22"/>
          <w:szCs w:val="22"/>
        </w:rPr>
        <w:t xml:space="preserve">Em sede de Juízo Monocrático, em cumprimento ao disposto nos parágrafos 1° e 2° do artigo 31 da Constituição Federal e artigo 71 da Constituição Estadual, e nos termos do § 2º do artigo 9º do Regimento Interno do Tribunal de Contas do Estado do Rio Grande do Sul, </w:t>
      </w: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  <w:r w:rsidRPr="00E176B1">
        <w:rPr>
          <w:sz w:val="22"/>
          <w:szCs w:val="22"/>
        </w:rPr>
        <w:t xml:space="preserve">– </w:t>
      </w:r>
      <w:proofErr w:type="gramStart"/>
      <w:r w:rsidRPr="00E176B1">
        <w:rPr>
          <w:sz w:val="22"/>
          <w:szCs w:val="22"/>
        </w:rPr>
        <w:t>considerando</w:t>
      </w:r>
      <w:proofErr w:type="gramEnd"/>
      <w:r w:rsidRPr="00E176B1">
        <w:rPr>
          <w:sz w:val="22"/>
          <w:szCs w:val="22"/>
        </w:rPr>
        <w:t xml:space="preserve"> o contido no Processo n</w:t>
      </w:r>
      <w:r w:rsidRPr="00E176B1">
        <w:rPr>
          <w:b/>
          <w:sz w:val="22"/>
          <w:szCs w:val="22"/>
        </w:rPr>
        <w:t>. 001650-0200/18-8</w:t>
      </w:r>
      <w:r w:rsidRPr="00E176B1">
        <w:rPr>
          <w:sz w:val="22"/>
          <w:szCs w:val="22"/>
        </w:rPr>
        <w:t xml:space="preserve">, de Contas de Governo do Executivo Municipal de </w:t>
      </w:r>
      <w:r w:rsidRPr="00E176B1">
        <w:rPr>
          <w:b/>
          <w:sz w:val="22"/>
          <w:szCs w:val="22"/>
        </w:rPr>
        <w:t>TRÊS PASSOS</w:t>
      </w:r>
      <w:r w:rsidRPr="00E176B1">
        <w:rPr>
          <w:sz w:val="22"/>
          <w:szCs w:val="22"/>
        </w:rPr>
        <w:t xml:space="preserve">, referente ao exercício de </w:t>
      </w:r>
      <w:r w:rsidRPr="00E176B1">
        <w:rPr>
          <w:b/>
          <w:sz w:val="22"/>
          <w:szCs w:val="22"/>
        </w:rPr>
        <w:t>2018</w:t>
      </w:r>
      <w:r w:rsidRPr="00E176B1">
        <w:rPr>
          <w:sz w:val="22"/>
          <w:szCs w:val="22"/>
        </w:rPr>
        <w:t xml:space="preserve">; </w:t>
      </w: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  <w:r w:rsidRPr="00E176B1">
        <w:rPr>
          <w:sz w:val="22"/>
          <w:szCs w:val="22"/>
        </w:rPr>
        <w:t xml:space="preserve">- </w:t>
      </w:r>
      <w:proofErr w:type="gramStart"/>
      <w:r w:rsidRPr="00E176B1">
        <w:rPr>
          <w:sz w:val="22"/>
          <w:szCs w:val="22"/>
        </w:rPr>
        <w:t>considerando</w:t>
      </w:r>
      <w:proofErr w:type="gramEnd"/>
      <w:r w:rsidRPr="00E176B1">
        <w:rPr>
          <w:sz w:val="22"/>
          <w:szCs w:val="22"/>
        </w:rPr>
        <w:t xml:space="preserve"> o fato de o Balanço-Geral da Administração Municipal e demais documentos que integram o referido Processo de Contas de Governo não evidenciarem falhas, </w:t>
      </w: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</w:p>
    <w:p w:rsidR="00E176B1" w:rsidRPr="00E176B1" w:rsidRDefault="00E176B1" w:rsidP="00796E1B">
      <w:pPr>
        <w:pStyle w:val="PargrafodaLista"/>
        <w:ind w:left="1134" w:firstLine="708"/>
        <w:jc w:val="both"/>
        <w:rPr>
          <w:b/>
          <w:sz w:val="22"/>
          <w:szCs w:val="22"/>
        </w:rPr>
      </w:pPr>
      <w:r w:rsidRPr="00E176B1">
        <w:rPr>
          <w:b/>
          <w:sz w:val="22"/>
          <w:szCs w:val="22"/>
        </w:rPr>
        <w:t xml:space="preserve">Decido: </w:t>
      </w:r>
    </w:p>
    <w:p w:rsidR="00E176B1" w:rsidRPr="00E176B1" w:rsidRDefault="00E176B1" w:rsidP="00796E1B">
      <w:pPr>
        <w:pStyle w:val="PargrafodaLista"/>
        <w:ind w:left="1134" w:firstLine="708"/>
        <w:jc w:val="both"/>
        <w:rPr>
          <w:sz w:val="22"/>
          <w:szCs w:val="22"/>
        </w:rPr>
      </w:pPr>
    </w:p>
    <w:p w:rsidR="00E176B1" w:rsidRPr="00E176B1" w:rsidRDefault="00E176B1" w:rsidP="00796E1B">
      <w:pPr>
        <w:pStyle w:val="PargrafodaLista"/>
        <w:ind w:left="1134" w:firstLine="708"/>
        <w:jc w:val="both"/>
        <w:rPr>
          <w:b/>
          <w:sz w:val="22"/>
          <w:szCs w:val="22"/>
        </w:rPr>
      </w:pPr>
      <w:r w:rsidRPr="00E176B1">
        <w:rPr>
          <w:sz w:val="22"/>
          <w:szCs w:val="22"/>
        </w:rPr>
        <w:t xml:space="preserve">– </w:t>
      </w:r>
      <w:r w:rsidRPr="00E176B1">
        <w:rPr>
          <w:b/>
          <w:sz w:val="22"/>
          <w:szCs w:val="22"/>
        </w:rPr>
        <w:t>Emitir Parecer Favorável</w:t>
      </w:r>
      <w:r w:rsidRPr="00E176B1">
        <w:rPr>
          <w:sz w:val="22"/>
          <w:szCs w:val="22"/>
        </w:rPr>
        <w:t xml:space="preserve"> à aprovação das Contas de Governo do (s) </w:t>
      </w:r>
      <w:proofErr w:type="gramStart"/>
      <w:r w:rsidRPr="00E176B1">
        <w:rPr>
          <w:sz w:val="22"/>
          <w:szCs w:val="22"/>
        </w:rPr>
        <w:t>Administrador(</w:t>
      </w:r>
      <w:proofErr w:type="gramEnd"/>
      <w:r w:rsidRPr="00E176B1">
        <w:rPr>
          <w:sz w:val="22"/>
          <w:szCs w:val="22"/>
        </w:rPr>
        <w:t xml:space="preserve">es) do Executivo Municipal de </w:t>
      </w:r>
      <w:r w:rsidRPr="00E176B1">
        <w:rPr>
          <w:b/>
          <w:sz w:val="22"/>
          <w:szCs w:val="22"/>
        </w:rPr>
        <w:t>TRÊS PASSOS</w:t>
      </w:r>
      <w:r w:rsidRPr="00E176B1">
        <w:rPr>
          <w:sz w:val="22"/>
          <w:szCs w:val="22"/>
        </w:rPr>
        <w:t xml:space="preserve">, correspondentes ao exercício de </w:t>
      </w:r>
      <w:r w:rsidRPr="00E176B1">
        <w:rPr>
          <w:b/>
          <w:sz w:val="22"/>
          <w:szCs w:val="22"/>
        </w:rPr>
        <w:t>2018</w:t>
      </w:r>
      <w:r w:rsidRPr="00E176B1">
        <w:rPr>
          <w:sz w:val="22"/>
          <w:szCs w:val="22"/>
        </w:rPr>
        <w:t xml:space="preserve">, gestão do(s) Senhor(es) </w:t>
      </w:r>
      <w:r w:rsidRPr="00E176B1">
        <w:rPr>
          <w:b/>
          <w:sz w:val="22"/>
          <w:szCs w:val="22"/>
        </w:rPr>
        <w:t xml:space="preserve">José Carlos </w:t>
      </w:r>
      <w:proofErr w:type="spellStart"/>
      <w:r w:rsidRPr="00E176B1">
        <w:rPr>
          <w:b/>
          <w:sz w:val="22"/>
          <w:szCs w:val="22"/>
        </w:rPr>
        <w:t>Anziliero</w:t>
      </w:r>
      <w:proofErr w:type="spellEnd"/>
      <w:r w:rsidRPr="00E176B1">
        <w:rPr>
          <w:b/>
          <w:sz w:val="22"/>
          <w:szCs w:val="22"/>
        </w:rPr>
        <w:t xml:space="preserve"> Amaral, Jorge Leandro </w:t>
      </w:r>
      <w:proofErr w:type="spellStart"/>
      <w:r w:rsidRPr="00E176B1">
        <w:rPr>
          <w:b/>
          <w:sz w:val="22"/>
          <w:szCs w:val="22"/>
        </w:rPr>
        <w:t>Dickel</w:t>
      </w:r>
      <w:proofErr w:type="spellEnd"/>
      <w:r w:rsidRPr="00E176B1">
        <w:rPr>
          <w:b/>
          <w:sz w:val="22"/>
          <w:szCs w:val="22"/>
        </w:rPr>
        <w:t xml:space="preserve"> em conformidade com o artigo 3º da Resolução TCE n. 1009, de 19 de março de 2014; </w:t>
      </w:r>
    </w:p>
    <w:p w:rsidR="00E176B1" w:rsidRDefault="00E176B1" w:rsidP="00796E1B">
      <w:pPr>
        <w:pStyle w:val="PargrafodaLista"/>
        <w:ind w:left="1134" w:firstLine="708"/>
        <w:jc w:val="both"/>
      </w:pPr>
    </w:p>
    <w:p w:rsidR="00E176B1" w:rsidRDefault="00E176B1" w:rsidP="00796E1B">
      <w:pPr>
        <w:pStyle w:val="PargrafodaLista"/>
        <w:ind w:left="1134" w:firstLine="708"/>
        <w:jc w:val="both"/>
      </w:pPr>
      <w:r>
        <w:t>– Encaminhar o presente parecer, bem como os autos que embasaram o exame técnico procedido, à Câmara Municipal de Vereadores, para os fins de julgamento estatuído no parágrafo 2º do artigo 31 da Constituição Federal.</w:t>
      </w:r>
    </w:p>
    <w:p w:rsidR="00796E1B" w:rsidRPr="00521C14" w:rsidRDefault="00796E1B" w:rsidP="00521C14">
      <w:pPr>
        <w:rPr>
          <w:bCs/>
        </w:rPr>
      </w:pPr>
    </w:p>
    <w:p w:rsidR="007431E8" w:rsidRDefault="007431E8" w:rsidP="007431E8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 e, em sequência, compete </w:t>
      </w:r>
      <w:r w:rsidR="00C57140">
        <w:rPr>
          <w:bCs/>
        </w:rPr>
        <w:t>à</w:t>
      </w:r>
      <w:r>
        <w:rPr>
          <w:bCs/>
        </w:rPr>
        <w:t xml:space="preserve"> </w:t>
      </w:r>
      <w:r w:rsidRPr="005729C1">
        <w:rPr>
          <w:bCs/>
        </w:rPr>
        <w:t>Comissão de Orçamento, Finan</w:t>
      </w:r>
      <w:r>
        <w:rPr>
          <w:bCs/>
        </w:rPr>
        <w:t>ças e Infra-Estrutura Urbana e R</w:t>
      </w:r>
      <w:r w:rsidRPr="005729C1">
        <w:rPr>
          <w:bCs/>
        </w:rPr>
        <w:t>ural</w:t>
      </w:r>
      <w:r>
        <w:rPr>
          <w:bCs/>
        </w:rPr>
        <w:t xml:space="preserve"> analisar o Processo de Contas do Município, bem como elaborar o seu parecer opinativo que será votado pelo plenário desta Casa Legislativa, conforme determina o art. 166 da Constituição Federal, bem como de acordo com o art. 47, II, “a”, 6 do Regimento Interno desta Casa Legislativa.</w:t>
      </w:r>
    </w:p>
    <w:p w:rsidR="007431E8" w:rsidRDefault="007431E8" w:rsidP="007431E8">
      <w:pPr>
        <w:pStyle w:val="Recuodecorpodetexto"/>
        <w:ind w:left="0" w:firstLine="708"/>
        <w:jc w:val="both"/>
        <w:rPr>
          <w:bCs/>
        </w:rPr>
      </w:pPr>
    </w:p>
    <w:p w:rsidR="00F850BB" w:rsidRDefault="00781723" w:rsidP="006D2484">
      <w:pPr>
        <w:jc w:val="both"/>
        <w:rPr>
          <w:bCs/>
        </w:rPr>
      </w:pPr>
      <w:r>
        <w:rPr>
          <w:bCs/>
        </w:rPr>
        <w:lastRenderedPageBreak/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que o julgamento das contas do prefeito, pela Câmara Municipal, com auxílio do Tribunal de Contas, é uma questão de extrema relevância, em 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 xml:space="preserve">erno do Poder Executivo Municipal, já o § 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>Recebida as contas prestadas pelo Prefeito, acompanhadas do Parecer Prévio em análise, este foi publicado no mural desta Casa legislativa, bem como foi divulgado no site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</w:t>
      </w:r>
      <w:r w:rsidR="00E176B1">
        <w:rPr>
          <w:bCs/>
        </w:rPr>
        <w:t>aneceu</w:t>
      </w:r>
      <w:r w:rsidR="009E7323">
        <w:rPr>
          <w:bCs/>
        </w:rPr>
        <w:t xml:space="preserve">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E176B1">
        <w:rPr>
          <w:bCs/>
        </w:rPr>
        <w:t>. Portanto, foram</w:t>
      </w:r>
      <w:r w:rsidR="009E7323">
        <w:rPr>
          <w:bCs/>
        </w:rPr>
        <w:t xml:space="preserve"> adotadas todas as medidas conforme determina o art. 172 do Regimento Interno desta Casa Legislativa. </w:t>
      </w:r>
    </w:p>
    <w:p w:rsidR="003E1310" w:rsidRDefault="00EC7B6E" w:rsidP="006D2484">
      <w:pPr>
        <w:jc w:val="both"/>
        <w:rPr>
          <w:bCs/>
        </w:rPr>
      </w:pPr>
      <w:r>
        <w:rPr>
          <w:bCs/>
        </w:rPr>
        <w:tab/>
      </w:r>
      <w:r w:rsidR="003E1310">
        <w:rPr>
          <w:bCs/>
        </w:rPr>
        <w:t xml:space="preserve">Diante disso, verifica-se que todos os procedimentos legais foram adotados conforme determina o Regimento Interno desta Casa Legislativa, Constituição Estadual e Federal.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</w:t>
      </w:r>
      <w:r w:rsidR="00521C14">
        <w:rPr>
          <w:bCs/>
        </w:rPr>
        <w:t xml:space="preserve">o </w:t>
      </w:r>
      <w:r>
        <w:rPr>
          <w:bCs/>
        </w:rPr>
        <w:t xml:space="preserve">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Pr="00521C14" w:rsidRDefault="000E72E9" w:rsidP="006D2484">
      <w:pPr>
        <w:jc w:val="both"/>
        <w:rPr>
          <w:bCs/>
        </w:rPr>
      </w:pPr>
      <w:r>
        <w:rPr>
          <w:bCs/>
        </w:rPr>
        <w:tab/>
        <w:t>Apresentado o voto do Vereador – Relator, seu conteúdo é deliberado na Comissão de Orçamento e Finanças</w:t>
      </w:r>
      <w:r w:rsidRPr="00521C14">
        <w:rPr>
          <w:bCs/>
        </w:rPr>
        <w:t xml:space="preserve">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6D2484" w:rsidRPr="007431E8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finalização do respectivo processo, naquela Corte, e realização dos respectivos encaminhamentos, como é o caso, por exemplo, do envio da lista de gestores públicos com contas rejeitadas à Justiça Eleitoral, para fins de inegibilidade, nos termos da Lei Complementar nº 135, de 2010. </w:t>
      </w:r>
    </w:p>
    <w:p w:rsidR="006D2484" w:rsidRPr="005729C1" w:rsidRDefault="003279B4" w:rsidP="00521C14">
      <w:pPr>
        <w:ind w:firstLine="708"/>
      </w:pPr>
      <w:r>
        <w:t>Três Passos, 04</w:t>
      </w:r>
      <w:r w:rsidR="002C7C9F">
        <w:t xml:space="preserve"> de maio de 2020.</w:t>
      </w:r>
      <w:bookmarkStart w:id="0" w:name="_GoBack"/>
      <w:bookmarkEnd w:id="0"/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sectPr w:rsidR="006D2484" w:rsidRPr="005729C1" w:rsidSect="00336EE4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A519A"/>
    <w:multiLevelType w:val="hybridMultilevel"/>
    <w:tmpl w:val="531A7D6E"/>
    <w:lvl w:ilvl="0" w:tplc="1B68AF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14339"/>
    <w:rsid w:val="000E72E9"/>
    <w:rsid w:val="000E748A"/>
    <w:rsid w:val="000F3A58"/>
    <w:rsid w:val="00137BE1"/>
    <w:rsid w:val="001570CF"/>
    <w:rsid w:val="00175CFB"/>
    <w:rsid w:val="00185B7F"/>
    <w:rsid w:val="0020397D"/>
    <w:rsid w:val="0024514B"/>
    <w:rsid w:val="00257C1D"/>
    <w:rsid w:val="00274260"/>
    <w:rsid w:val="002A2C42"/>
    <w:rsid w:val="002B264A"/>
    <w:rsid w:val="002C7C9F"/>
    <w:rsid w:val="002F44A4"/>
    <w:rsid w:val="003279B4"/>
    <w:rsid w:val="00336EE4"/>
    <w:rsid w:val="00396579"/>
    <w:rsid w:val="003C608C"/>
    <w:rsid w:val="003D24B1"/>
    <w:rsid w:val="003E1310"/>
    <w:rsid w:val="003E3194"/>
    <w:rsid w:val="003F13FE"/>
    <w:rsid w:val="00432584"/>
    <w:rsid w:val="004C2998"/>
    <w:rsid w:val="004C6908"/>
    <w:rsid w:val="00521C14"/>
    <w:rsid w:val="005677BE"/>
    <w:rsid w:val="00584FD8"/>
    <w:rsid w:val="005D686B"/>
    <w:rsid w:val="005E5892"/>
    <w:rsid w:val="005F045A"/>
    <w:rsid w:val="005F283A"/>
    <w:rsid w:val="00640098"/>
    <w:rsid w:val="00644575"/>
    <w:rsid w:val="006461C6"/>
    <w:rsid w:val="006C2D25"/>
    <w:rsid w:val="006D01B5"/>
    <w:rsid w:val="006D2484"/>
    <w:rsid w:val="00741B77"/>
    <w:rsid w:val="007431E8"/>
    <w:rsid w:val="00757B19"/>
    <w:rsid w:val="00781723"/>
    <w:rsid w:val="00796E1B"/>
    <w:rsid w:val="008142A6"/>
    <w:rsid w:val="00815B02"/>
    <w:rsid w:val="00840C57"/>
    <w:rsid w:val="0085488C"/>
    <w:rsid w:val="00890B1B"/>
    <w:rsid w:val="00977BDC"/>
    <w:rsid w:val="00983257"/>
    <w:rsid w:val="00985154"/>
    <w:rsid w:val="009E7323"/>
    <w:rsid w:val="00A1436D"/>
    <w:rsid w:val="00A42373"/>
    <w:rsid w:val="00A45CFF"/>
    <w:rsid w:val="00AD5D2E"/>
    <w:rsid w:val="00AF0641"/>
    <w:rsid w:val="00B06561"/>
    <w:rsid w:val="00BA2630"/>
    <w:rsid w:val="00BB7A50"/>
    <w:rsid w:val="00BC3C10"/>
    <w:rsid w:val="00BD247D"/>
    <w:rsid w:val="00BF4CD3"/>
    <w:rsid w:val="00BF7D28"/>
    <w:rsid w:val="00C57140"/>
    <w:rsid w:val="00C77A97"/>
    <w:rsid w:val="00CB6F1F"/>
    <w:rsid w:val="00CD7088"/>
    <w:rsid w:val="00D05FF6"/>
    <w:rsid w:val="00D24FFA"/>
    <w:rsid w:val="00D40D98"/>
    <w:rsid w:val="00D52B43"/>
    <w:rsid w:val="00DB2487"/>
    <w:rsid w:val="00DC4238"/>
    <w:rsid w:val="00E120D0"/>
    <w:rsid w:val="00E176B1"/>
    <w:rsid w:val="00EA10D6"/>
    <w:rsid w:val="00EC7B6E"/>
    <w:rsid w:val="00EE0053"/>
    <w:rsid w:val="00EE0BF5"/>
    <w:rsid w:val="00F01602"/>
    <w:rsid w:val="00F141A7"/>
    <w:rsid w:val="00F17049"/>
    <w:rsid w:val="00F32197"/>
    <w:rsid w:val="00F42766"/>
    <w:rsid w:val="00F850BB"/>
    <w:rsid w:val="00F93DE8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8A79"/>
  <w15:docId w15:val="{0B5D3AD9-3A79-45BB-A242-8345A80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57EDA-F561-40AE-B478-CE3E3F5C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2020-05-04T17:39:00Z</cp:lastPrinted>
  <dcterms:created xsi:type="dcterms:W3CDTF">2020-05-04T12:52:00Z</dcterms:created>
  <dcterms:modified xsi:type="dcterms:W3CDTF">2020-05-04T17:43:00Z</dcterms:modified>
</cp:coreProperties>
</file>