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tabs>
          <w:tab w:val="left" w:pos="426" w:leader="none"/>
        </w:tabs>
        <w:ind w:left="4536" w:hanging="0"/>
        <w:jc w:val="both"/>
        <w:rPr/>
      </w:pPr>
      <w:r>
        <w:rPr/>
        <w:t>Autoriza o Poder Executivo a proceder na alienação onerosa dos bens móveis inservíveis, obsoletos ou antieconômicos.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21"/>
        <w:spacing w:lineRule="auto" w:line="240" w:before="0" w:after="0"/>
        <w:ind w:firstLine="851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</w:r>
    </w:p>
    <w:p>
      <w:pPr>
        <w:pStyle w:val="Normal"/>
        <w:ind w:firstLine="851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autorizado a realizar a venda, através de leilão, dos bens de propriedade do Município, como máquinas, equipamentos, móveis, veículos, entre outros, considerados inservíveis, obsoletos ou antieconômicos para o uso do Município e que possuam algum valor comercial, conforme anexo I que faz parte integrante desta Lei.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Os bens ora descritos serão vendidos mediante procedimento licitatório, na modalidade leilão, por preço não inferior ao da avaliação, a ser realizada por empresa contratada para esta finalidade, nos termos da Lei 8.666/93 e demais leis posteriores.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 venda será feita por Servidor Público Municipal, conforme faculta o art. 53 da Lei 8.666/93.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4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LibreOffice/5.4.7.2$Windows_X86_64 LibreOffice_project/c838ef25c16710f8838b1faec480ebba495259d0</Application>
  <Pages>1</Pages>
  <Words>221</Words>
  <Characters>1198</Characters>
  <CharactersWithSpaces>1411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2020-09-02T09:15:52Z</cp:lastPrinted>
  <dcterms:modified xsi:type="dcterms:W3CDTF">2020-09-02T09:15:08Z</dcterms:modified>
  <cp:revision>202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