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clear" w:pos="708"/>
          <w:tab w:val="left" w:pos="426" w:leader="none"/>
        </w:tabs>
        <w:ind w:start="4536" w:hanging="0"/>
        <w:jc w:val="both"/>
        <w:rPr/>
      </w:pPr>
      <w:r>
        <w:rPr/>
        <w:t>Dispõe sobre a alteração do artigo 7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2.727/1986.</w:t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Fica autorizado o Poder Executivo Municipal a proceder na alteração do artigo 7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2.727/1986, a qual passará a viger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start="850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Art. 7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 veículo deverá possuir duas ou quatro portas e encontrar-se em perfeito estado de conservação, funcionamento, segurança e higiene, tudo comprovado através de vistoria prévia, e satisfazerem as exigências da regulamentação.”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LibreOffice/7.0.1.2$Windows_X86_64 LibreOffice_project/7cbcfc562f6eb6708b5ff7d7397325de9e764452</Application>
  <Pages>1</Pages>
  <Words>176</Words>
  <Characters>938</Characters>
  <CharactersWithSpaces>1107</CharactersWithSpaces>
  <Paragraphs>12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2020-09-30T09:00:49Z</cp:lastPrinted>
  <dcterms:modified xsi:type="dcterms:W3CDTF">2020-11-11T09:01:25Z</dcterms:modified>
  <cp:revision>212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