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</w:r>
    </w:p>
    <w:p>
      <w:pPr>
        <w:pStyle w:val="Normal"/>
        <w:tabs>
          <w:tab w:val="clear" w:pos="708"/>
          <w:tab w:val="left" w:pos="426" w:leader="none"/>
        </w:tabs>
        <w:ind w:start="4536" w:hanging="0"/>
        <w:jc w:val="both"/>
        <w:rPr/>
      </w:pPr>
      <w:r>
        <w:rPr/>
        <w:t>Estima a receita e fixa a despesa do Município de Três Passos para o exercício financeiro de 2021.</w:t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21"/>
        <w:spacing w:lineRule="auto" w:line="240" w:before="0" w:after="0"/>
        <w:ind w:firstLine="851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Esta Lei estima a receita e fixa a despesa do Município de Três Passos para o exercício financeiro de 2021, referentes aos Poderes Executivo e Legislativo do Município, seus fundos, órgãos e entidades da Administração Indireta, compreendendo o orçamento fiscal, o orçamento da seguridade social e orçamento de investimento.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Parágrafo </w:t>
      </w:r>
      <w:r>
        <w:rPr>
          <w:rFonts w:cs="Arial"/>
          <w:sz w:val="24"/>
          <w:szCs w:val="24"/>
        </w:rPr>
        <w:t>ú</w:t>
      </w:r>
      <w:r>
        <w:rPr>
          <w:rFonts w:cs="Arial"/>
          <w:sz w:val="24"/>
          <w:szCs w:val="24"/>
        </w:rPr>
        <w:t>nico. Constituem anexos e fazem parte desta Lei: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 – Descrição da Metodologia e Premissa de cálculos realizados, nos termos do que dispõe o art. 12 da Lei Complementar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101, de 2000 (LRF);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II - Descrição sucinta de cada unidade administrativa e de suas principais finalidades com indicação da respectiva legislação (parágrafo único do art. 22 da Lei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4.320, de 1964);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III - Quadro discriminativo da receita por fontes e respectiva legislação (inciso III, do §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>, do art.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da Lei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4.320, de 1964);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IV – Relação de compromissos (convênios e contratos) firmados para 2021 com os respectivos créditos orçamentários;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V – Relação de Precatórios a pagar em 2021 com os respectivos créditos orçamentários; 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VI – Anexos orçamentários 1, 2, 6, 7, 8 e 9 da lei 4.320 de 1964;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VII – Demonstrativo da evolução da receita, por origem de arrecadação, em atendimento ao disposto no art. 22 da LC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101/2000; 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VIII – Demonstrativo da estimativa e compensação da renúncia da receita e da margem de expansão das despesas obrigatórias de caráter continuado, de acordo com o art. 5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>, inciso II, da LC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101/2000;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IX – Demonstrativo da receita e planos de aplicação dos Fundos Especiais, que obedecerá ao disposto no inciso I do §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>, art.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da lei Federal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4.320/1964;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 – Demonstrativo da fixação da despesa com pessoal e encargos sociais, para os Poderes Executivo e Legislativo, confrontando a sua totalização com a receita corrente líquida prevista, nos termos dos artigos 19 e 20 da LC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101/2000;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XI – Demonstrativo da previsão de aplicação das aplicações na Manutenção e Desenvolvimento do Ensino (MDE) e do Fundo de Manutenção e Desenvolvimento da Educação Básica e da Valorização dos Profissionais da Educação (FUNDEB);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XII – Demonstrativo da previsão da aplicação anual do Município em Ações e Serviços Públicos de Saúde (ASPS), conforme a Lei Complementar n 141, de 13 de janeiro de 2012; 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XIII – Demonstrativo das categorias de programação a serem financiadas com recursos de operações de crédito realizadas e a realizar, com indicação de dotação e do orçamento a que pertencem;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XIV – Demonstrativo do cálculo do limite máximo de despesas para a Câmara Municipal, conforme o artigo 29-A da Constituição Federal;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XV – Demonstrativo do Resultado Primário e Nominal.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XVI – Demonstrativo do limite de gastos administrativos do Regime Próprio de Previdência.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XVII – Demonstrativo de compatibilidade da programação do orçamento com as metas fiscais estabelecidas na LDO, de acordo com o art. 5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>, inciso I, da LC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101/2000. 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XVIII - Demonstrativo da Receita Corrente Líquida.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XIX - Relação da Proposta da Receita.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XX - Relação da Proposta da Despesa.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XXI - Previsão Atualizada RCL 2020 – para cálculo do 1,2% destinado a Emendas Impositivas ao Orçamento.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XXII - Demonstrativo da Estimativa e Compensação da Renúncia De Receita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XXIII - Relação de Despesas Planejadas.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XXIV – Planilha de Identificação dos Projetos, Atividades e Operações Especiais.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O Orçamento do Município, em obediência ao princípio do equilíbrio das contas públicas de que trata a Lei Complementar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101, de 2000, art.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>, §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, fica estabelecido em igual valor entre a receita estimada e a soma da despesa fixada acrescida das reservas de contingências no valor de R$ 94.807.557,16 (noventa e quatro milhões, oitocentos e sete mil, quinhentos e cinquenta e sete reais, dezesseis centavos). 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§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A Receita Orçamentária Total, no Orçamento Fiscal, foi Estimada em R$ 64.417.566,33 (sessenta e quatro milhões, quatrocentos e dezessete mil, quinhentos e sessenta e seis reais, trinta e três centavos); e a Despesa Orçamentária Total no Orçamento fiscal foi Fixada em R$ 64.417.566,33 (sessenta e quatro milhões, quatrocentos e dezessete mil, quinhentos e sessenta e seis reais, trinta e três centavos); 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§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A Receita Orçamentária Total, no Orçamento da Seguridade Social, foi Estimada em R$ 30.389.990,83 (trinta milhões, trezentos e oitenta e nove mil, novecentos e noventa reais, oitenta e três centavos); e a Despesa Orçamentária Total, no Orçamento da Seguridade Social foi Fixada em R$ 30.389.990,83 (trinta milhões, trezentos e oitenta e nove mil, novecentos e noventa reais, oitenta e três centavos);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3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Considerar-se-á créditos adicionais especiais, para efeitos desta Lei, e em conformidade com a Portaria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163, de 2001, art. 6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, da Secretaria do Tesouro Nacional o crédito orçamentário criado em nível de elemento de despesa. 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4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Ficam os Poderes Executivo e Legislativo autorizados a abrir créditos suplementares, por Decreto, na Administração Direta e Indireta, observados os arts. 8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>, 9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e 13 da Lei Complementar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101, de 2000, mediante a utilização dos recursos: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I) da anulação parcial ou total de dotações orçamentárias, nos termos do art. 43, §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>, inciso III, da Lei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4.320, de 17 de março de 1964, até o limite de 20% (vinte por cento) do somatório da receita total projetada, inclusive a previsão adicional (reestimativa), ou despesa fixada no caso de entidades que não possuam receitas próprias;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II) da Reserva de Contingência, com valores específicos para este fim no anexo de riscos fiscais;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III) de excesso de arrecadação proveniente de receitas livres ou vinculadas arrecadadas e a arrecadar, desde que para alocação nos mesmos créditos orçamentários em que os recursos dessas fontes foram originalmente programados;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IV) superávit financeiro apurado em balanço do exercício anterior, de acordo com as vinculações originais.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§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O limite para a abertura de créditos suplementares de que trata este artigo, no inciso I, é autorizado individualmente para a administração direta e para cada entidade da administração indireta e Regime Próprio de Previdência Social.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§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Poderão ser utilizadas, para efeitos de créditos adicionais, reduções de valores atribuídos a créditos orçamentários de diferentes unidades gestoras do orçamento (administração direta e indireta), sendo que os créditos adicionais especiais que envolvam o Poder Legislativo deverão possuir autorização expressa daquele Poder.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5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Os limites autorizados no artigo 4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não serão onerados quando o crédito suplementar se destinar a atender: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I) Insuficiências de dotações do Grupo de Natureza da Despesa 1 — Pessoal e Encargos Sociais, mediante a utilização de recursos oriundos de anulação de despesas consignadas ao mesmo grupo, apurado decreto </w:t>
      </w:r>
      <w:r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decreto;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II) Pagamento de despesas decorrentes de precatórios judiciais, amortização, juros e encargos da dívida;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III) Despesas financiadas com recursos provenientes de operações de crédito, alienação de bens e transferências voluntárias da União e do Estado.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IV) Utilização dos recursos da reserva de contingência referenciada no art. 14, incisos I e II, da Lei Municipal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5.578 de 15 de setembro de 2020 - LDO para o exercício de 2021.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V) Quando se tratar de alteração de fonte de recurso vinculado, nos termos do art. 31 da Lei Municipal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5.578 de 15 de setembro de 2020 - LDO para o exercício de 2021;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Parágrafo único. As disposições dos incisos II, III, IV, VI, VII e VIII não se aplicam ao Poder Legislativo.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6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Fica o Poder Executivo autorizado a realizar operações de crédito, observados os preceitos legais aplicáveis à matéria.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7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8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Esta lei entra em vigor na data de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52/20.-</w:t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LibreOffice/7.0.1.2$Windows_X86_64 LibreOffice_project/7cbcfc562f6eb6708b5ff7d7397325de9e764452</Application>
  <Pages>3</Pages>
  <Words>1339</Words>
  <Characters>7073</Characters>
  <CharactersWithSpaces>8386</CharactersWithSpaces>
  <Paragraphs>56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2020-09-30T09:00:49Z</cp:lastPrinted>
  <dcterms:modified xsi:type="dcterms:W3CDTF">2020-12-02T08:47:21Z</dcterms:modified>
  <cp:revision>216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