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880110" cy="1083310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549910</wp:posOffset>
                </wp:positionH>
                <wp:positionV relativeFrom="paragraph">
                  <wp:posOffset>27940</wp:posOffset>
                </wp:positionV>
                <wp:extent cx="4389755" cy="1058545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10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tabs>
                                <w:tab w:val="clear" w:pos="708"/>
                                <w:tab w:val="left" w:pos="5893" w:leader="none"/>
                              </w:tabs>
                              <w:suppressAutoHyphens w:val="true"/>
                              <w:bidi w:val="0"/>
                              <w:spacing w:lineRule="auto" w:line="240" w:before="0" w:after="0"/>
                              <w:ind w:start="0" w:end="1077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start="0" w:end="170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43.3pt;margin-top:2.2pt;width:345.55pt;height:83.25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tabs>
                          <w:tab w:val="clear" w:pos="708"/>
                          <w:tab w:val="left" w:pos="5893" w:leader="none"/>
                        </w:tabs>
                        <w:suppressAutoHyphens w:val="true"/>
                        <w:bidi w:val="0"/>
                        <w:spacing w:lineRule="auto" w:line="240" w:before="0" w:after="0"/>
                        <w:ind w:start="0" w:end="1077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start="0" w:end="170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PARECER DA COMISSÃO DE ORÇAMENTO E FINANÇAS SOBRE A DEMONSTRAÇÃO E AVALIAÇÃO DAS METAS FISCAIS  DO 3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QUADRIMESTRE DE 2020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W w:w="9150" w:type="dxa"/>
        <w:jc w:val="start"/>
        <w:tblInd w:w="0" w:type="dxa"/>
        <w:tblLayout w:type="fixed"/>
        <w:tblCellMar>
          <w:top w:w="0" w:type="dxa"/>
          <w:start w:w="8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496"/>
        <w:gridCol w:w="7653"/>
      </w:tblGrid>
      <w:tr>
        <w:trPr/>
        <w:tc>
          <w:tcPr>
            <w:tcW w:w="149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Parecer n</w:t>
            </w:r>
            <w:r>
              <w:rPr>
                <w:rFonts w:ascii="Arial" w:hAnsi="Arial"/>
                <w:b/>
                <w:i/>
                <w:iCs/>
                <w:strike/>
                <w:sz w:val="24"/>
                <w:szCs w:val="24"/>
              </w:rPr>
              <w:t>º</w:t>
            </w:r>
          </w:p>
        </w:tc>
        <w:tc>
          <w:tcPr>
            <w:tcW w:w="76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1/2021</w:t>
            </w:r>
          </w:p>
        </w:tc>
      </w:tr>
      <w:tr>
        <w:trPr/>
        <w:tc>
          <w:tcPr>
            <w:tcW w:w="149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Data:</w:t>
            </w:r>
          </w:p>
        </w:tc>
        <w:tc>
          <w:tcPr>
            <w:tcW w:w="76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Calibri"/>
                <w:b/>
                <w:b/>
                <w:i/>
                <w:i/>
                <w:iCs/>
                <w:color w:val="00000A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Calibri" w:cs="Calibri" w:ascii="Arial" w:hAnsi="Arial"/>
                <w:b/>
                <w:i/>
                <w:iCs/>
                <w:color w:val="00000A"/>
                <w:kern w:val="0"/>
                <w:sz w:val="24"/>
                <w:szCs w:val="24"/>
                <w:lang w:val="pt-BR" w:eastAsia="zh-CN" w:bidi="ar-SA"/>
              </w:rPr>
              <w:t>25/02/2021</w:t>
            </w:r>
          </w:p>
        </w:tc>
      </w:tr>
    </w:tbl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RELATÓRIO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>I.</w:t>
        <w:tab/>
        <w:t>Trata, a presente matéria, de análise sobre o cumprimento das metas fiscais fixadas na Lei de Diretrizes do Município de Três Passos,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5.370/2018, nos termos da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art. 59.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Comissão de Orçamento e Finanças passa a analisar a formalidade e a materialidade da apresentação e avaliação das metas fiscais.</w:t>
      </w:r>
    </w:p>
    <w:p>
      <w:pPr>
        <w:pStyle w:val="Normal"/>
        <w:spacing w:lineRule="auto" w:line="240"/>
        <w:ind w:start="708" w:hanging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PARECER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 xml:space="preserve">II. </w:t>
        <w:tab/>
        <w:t>Quanto à forma, verifica-se que o Poder Executivo se fez representar dentro do prazo previsto na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para o 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quadrimestre do exercício financeiro de 2020, sendo realizada a audiência na data de 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25/02/2021</w:t>
      </w:r>
      <w:r>
        <w:rPr>
          <w:rFonts w:ascii="Arial" w:hAnsi="Arial"/>
          <w:sz w:val="24"/>
          <w:szCs w:val="24"/>
        </w:rPr>
        <w:t xml:space="preserve"> conforme ata registrada sob 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1/21, bem como foram obedecidas as normas regimentais para a realização da audiência prevista na Resolução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3/2006.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  <w:lang w:val="pt-BR" w:bidi="ar-SA"/>
        </w:rPr>
        <w:t xml:space="preserve">III.    A Secretária Municipal de Finanças explicou que, em relação </w:t>
      </w:r>
      <w:r>
        <w:rPr>
          <w:rFonts w:eastAsia="Calibri" w:cs="Calibri" w:ascii="Arial" w:hAnsi="Arial"/>
          <w:color w:val="00000A"/>
          <w:sz w:val="24"/>
          <w:szCs w:val="24"/>
          <w:lang w:val="pt-BR" w:bidi="ar-SA"/>
        </w:rPr>
        <w:t xml:space="preserve">às </w:t>
      </w:r>
      <w:r>
        <w:rPr>
          <w:rFonts w:eastAsia="Calibri" w:cs="Calibri" w:ascii="Arial" w:hAnsi="Arial"/>
          <w:color w:val="00000A"/>
          <w:sz w:val="24"/>
          <w:szCs w:val="24"/>
          <w:u w:val="single"/>
          <w:lang w:val="pt-BR" w:bidi="ar-SA"/>
        </w:rPr>
        <w:t>Receitas</w:t>
      </w:r>
      <w:r>
        <w:rPr>
          <w:rFonts w:ascii="Arial" w:hAnsi="Arial"/>
          <w:sz w:val="24"/>
          <w:szCs w:val="24"/>
          <w:lang w:val="pt-BR" w:bidi="ar-SA"/>
        </w:rPr>
        <w:t>, conforme</w:t>
      </w:r>
      <w:r>
        <w:rPr>
          <w:rFonts w:cs="Arial" w:ascii="Arial" w:hAnsi="Arial"/>
          <w:sz w:val="24"/>
          <w:szCs w:val="24"/>
          <w:lang w:val="pt-BR" w:bidi="ar-SA"/>
        </w:rPr>
        <w:t xml:space="preserve"> o Relatório Resumido da Execução Orçamentária, Demonstrativo dos Resultados Primário e Nominal, do quadrimestre de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outubro a dezembro</w:t>
      </w:r>
      <w:r>
        <w:rPr>
          <w:rFonts w:cs="Arial" w:ascii="Arial" w:hAnsi="Arial"/>
          <w:sz w:val="24"/>
          <w:szCs w:val="24"/>
          <w:lang w:val="pt-BR" w:bidi="ar-SA"/>
        </w:rPr>
        <w:t xml:space="preserve">, o total previsto, que corresponde ao somatório das receitas correntes e de capital, excluídas as deduções da receita, foi estimado na Lei de Orçamento para o exercício de 2020 no montante de R$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85.431.387,12</w:t>
      </w:r>
      <w:r>
        <w:rPr>
          <w:rFonts w:cs="Arial" w:ascii="Arial" w:hAnsi="Arial"/>
          <w:sz w:val="24"/>
          <w:szCs w:val="24"/>
          <w:lang w:val="pt-BR" w:bidi="ar-SA"/>
        </w:rPr>
        <w:t>. A receita efetivada no período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pt-BR" w:bidi="ar-SA"/>
        </w:rPr>
      </w:pPr>
      <w:r>
        <w:rPr>
          <w:rFonts w:cs="Arial" w:ascii="Arial" w:hAnsi="Arial"/>
          <w:sz w:val="24"/>
          <w:szCs w:val="24"/>
          <w:lang w:val="pt-BR" w:bidi="ar-SA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pt-BR" w:bidi="ar-SA"/>
        </w:rPr>
      </w:pPr>
      <w:r>
        <w:rPr>
          <w:rFonts w:cs="Arial" w:ascii="Arial" w:hAnsi="Arial"/>
          <w:sz w:val="24"/>
          <w:szCs w:val="24"/>
          <w:lang w:val="pt-BR" w:bidi="ar-SA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pt-BR" w:bidi="ar-SA"/>
        </w:rPr>
      </w:pPr>
      <w:r>
        <w:rPr>
          <w:rFonts w:cs="Arial" w:ascii="Arial" w:hAnsi="Arial"/>
          <w:sz w:val="24"/>
          <w:szCs w:val="24"/>
          <w:lang w:val="pt-BR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bidi="ar-SA"/>
        </w:rPr>
        <w:t xml:space="preserve">de janeiro a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dezembro</w:t>
      </w:r>
      <w:r>
        <w:rPr>
          <w:rFonts w:cs="Arial" w:ascii="Arial" w:hAnsi="Arial"/>
          <w:sz w:val="24"/>
          <w:szCs w:val="24"/>
          <w:lang w:val="pt-BR" w:bidi="ar-SA"/>
        </w:rPr>
        <w:t xml:space="preserve"> de 2020 foi de R$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90.094.307,27</w:t>
      </w:r>
      <w:r>
        <w:rPr>
          <w:rFonts w:cs="Arial" w:ascii="Arial" w:hAnsi="Arial"/>
          <w:sz w:val="24"/>
          <w:szCs w:val="24"/>
          <w:lang w:val="pt-BR" w:bidi="ar-SA"/>
        </w:rPr>
        <w:t xml:space="preserve">, tendo sido arrecadado, portanto,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105,46</w:t>
      </w:r>
      <w:r>
        <w:rPr>
          <w:rFonts w:cs="Arial" w:ascii="Arial" w:hAnsi="Arial"/>
          <w:sz w:val="24"/>
          <w:szCs w:val="24"/>
          <w:lang w:val="pt-BR" w:bidi="ar-SA"/>
        </w:rPr>
        <w:t xml:space="preserve">% da meta anual.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bidi="ar-SA"/>
        </w:rPr>
        <w:tab/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sz w:val="24"/>
          <w:szCs w:val="24"/>
        </w:rPr>
        <w:t>IV</w:t>
      </w:r>
      <w:r>
        <w:rPr>
          <w:rFonts w:ascii="Arial" w:hAnsi="Arial"/>
          <w:color w:val="FF0000"/>
          <w:sz w:val="24"/>
          <w:szCs w:val="24"/>
        </w:rPr>
        <w:t xml:space="preserve">.    </w:t>
      </w:r>
      <w:r>
        <w:rPr>
          <w:rFonts w:ascii="Arial" w:hAnsi="Arial"/>
          <w:color w:val="auto"/>
          <w:sz w:val="24"/>
          <w:szCs w:val="24"/>
        </w:rPr>
        <w:t xml:space="preserve">Com relação às </w:t>
      </w:r>
      <w:r>
        <w:rPr>
          <w:rFonts w:ascii="Arial" w:hAnsi="Arial"/>
          <w:color w:val="auto"/>
          <w:sz w:val="24"/>
          <w:szCs w:val="24"/>
          <w:u w:val="single"/>
        </w:rPr>
        <w:t>Despesas</w:t>
      </w:r>
      <w:r>
        <w:rPr>
          <w:rFonts w:ascii="Arial" w:hAnsi="Arial"/>
          <w:color w:val="auto"/>
          <w:sz w:val="24"/>
          <w:szCs w:val="24"/>
        </w:rPr>
        <w:t xml:space="preserve">, considerando todas as fontes de recursos, a Despesa Total liquidada, nela incluída a transferência da cota patronal para o  RPPS, no período de janeiro a </w:t>
      </w:r>
      <w:r>
        <w:rPr>
          <w:rFonts w:eastAsia="Calibri" w:cs="Calibri" w:ascii="Arial" w:hAnsi="Arial"/>
          <w:color w:val="auto"/>
          <w:kern w:val="0"/>
          <w:sz w:val="24"/>
          <w:szCs w:val="24"/>
          <w:lang w:val="pt-BR" w:eastAsia="zh-CN" w:bidi="ar-SA"/>
        </w:rPr>
        <w:t>dezembro</w:t>
      </w:r>
      <w:r>
        <w:rPr>
          <w:rFonts w:ascii="Arial" w:hAnsi="Arial"/>
          <w:color w:val="auto"/>
          <w:sz w:val="24"/>
          <w:szCs w:val="24"/>
        </w:rPr>
        <w:t xml:space="preserve"> de 2020, apresentou uma execução inferior à Receita Total realizada. Em valores acumulados, a correlação despesa total/receita total foi de </w:t>
      </w:r>
      <w:r>
        <w:rPr>
          <w:rFonts w:eastAsia="Calibri" w:cs="Calibri" w:ascii="Arial" w:hAnsi="Arial"/>
          <w:color w:val="auto"/>
          <w:kern w:val="0"/>
          <w:sz w:val="24"/>
          <w:szCs w:val="24"/>
          <w:lang w:val="pt-BR" w:eastAsia="zh-CN" w:bidi="ar-SA"/>
        </w:rPr>
        <w:t>92,13%</w:t>
      </w:r>
      <w:r>
        <w:rPr>
          <w:rFonts w:ascii="Arial" w:hAnsi="Arial"/>
          <w:color w:val="auto"/>
          <w:sz w:val="24"/>
          <w:szCs w:val="24"/>
        </w:rPr>
        <w:t xml:space="preserve">, demonstrando um superávit na execução orçamentária de R$ </w:t>
      </w:r>
      <w:r>
        <w:rPr>
          <w:rFonts w:eastAsia="Calibri" w:cs="Calibri" w:ascii="Arial" w:hAnsi="Arial"/>
          <w:color w:val="auto"/>
          <w:kern w:val="0"/>
          <w:sz w:val="24"/>
          <w:szCs w:val="24"/>
          <w:lang w:val="pt-BR" w:eastAsia="zh-CN" w:bidi="ar-SA"/>
        </w:rPr>
        <w:t>6</w:t>
      </w:r>
      <w:r>
        <w:rPr>
          <w:rFonts w:ascii="Arial" w:hAnsi="Arial"/>
          <w:color w:val="auto"/>
          <w:sz w:val="24"/>
          <w:szCs w:val="24"/>
        </w:rPr>
        <w:t xml:space="preserve">.644.202,55. Esse resultado confirma o atingimento das metas programadas para o período.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ab/>
        <w:t xml:space="preserve"> </w:t>
      </w:r>
      <w:r>
        <w:rPr>
          <w:rFonts w:cs="Arial" w:ascii="Arial" w:hAnsi="Arial"/>
          <w:sz w:val="24"/>
          <w:szCs w:val="24"/>
        </w:rPr>
        <w:t>Ficou demonstrado, assim, que foram atingidas as metas fiscais estabelecidas, bem como o atendimento aos requisitos da Lei de Responsabilidade Fiscal.</w:t>
      </w:r>
    </w:p>
    <w:p>
      <w:pPr>
        <w:pStyle w:val="Corpodotexto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V -   Pelos fundamentos declinados neste Parecer, esta Relatoria opina pela 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dequação </w:t>
      </w:r>
      <w:r>
        <w:rPr>
          <w:rFonts w:ascii="Arial" w:hAnsi="Arial"/>
          <w:bCs/>
          <w:sz w:val="24"/>
          <w:szCs w:val="24"/>
        </w:rPr>
        <w:t>do cumprimento das metas fiscais no 3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quadrimestre de 2020, em relação aos resultados primário e nominal.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bCs/>
          <w:sz w:val="24"/>
          <w:szCs w:val="24"/>
        </w:rPr>
        <w:t xml:space="preserve">VI.    </w:t>
        <w:tab/>
        <w:t xml:space="preserve"> Segue o presente à Mesa Diretora da Casa para as providências necessárias, nos termos do art. 59 da LC 101/2000.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Ver.  Flávio Habitzreiter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Presidente da COF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 xml:space="preserve">Ver. </w:t>
      </w:r>
      <w:r>
        <w:rPr>
          <w:rFonts w:ascii="Arial" w:hAnsi="Arial"/>
          <w:sz w:val="24"/>
          <w:szCs w:val="24"/>
        </w:rPr>
        <w:t>João Boll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Vice-Presidente da COF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LibreOffice/7.0.1.2$Windows_X86_64 LibreOffice_project/7cbcfc562f6eb6708b5ff7d7397325de9e764452</Application>
  <Pages>2</Pages>
  <Words>425</Words>
  <Characters>2261</Characters>
  <CharactersWithSpaces>2688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2020-05-22T17:34:00Z</dcterms:created>
  <dc:creator>Usuário</dc:creator>
  <dc:description/>
  <dc:language>pt-BR</dc:language>
  <cp:lastModifiedBy/>
  <cp:lastPrinted>2018-10-10T15:13:00Z</cp:lastPrinted>
  <dcterms:modified xsi:type="dcterms:W3CDTF">2021-03-25T14:33:34Z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