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78,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14</w:t>
      </w:r>
      <w:r>
        <w:rPr>
          <w:u w:val="none"/>
        </w:rPr>
        <w:t xml:space="preserve"> de outubro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13</w:t>
      </w:r>
      <w:r>
        <w:rPr>
          <w:u w:val="none"/>
        </w:rPr>
        <w:t xml:space="preserve"> de outubro de 2021, aprovou o PROJETO DE LEI LEGISLATIVA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12</w:t>
      </w:r>
      <w:r>
        <w:rPr>
          <w:u w:val="none"/>
        </w:rPr>
        <w:t>, de 2021, de autoria d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o vereador Edivan Nelsi Baron</w:t>
      </w:r>
      <w:r>
        <w:rPr>
          <w:u w:val="none"/>
        </w:rPr>
        <w:t>, que “</w:t>
      </w:r>
      <w:r>
        <w:rPr>
          <w:u w:val="none"/>
        </w:rPr>
        <w:t>d</w:t>
      </w:r>
      <w:r>
        <w:rPr>
          <w:u w:val="none"/>
        </w:rPr>
        <w:t>enomina a Biblioteca Municipal”,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LEGISLATIVA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1</w:t>
      </w:r>
      <w:r>
        <w:rPr>
          <w:b/>
          <w:bCs/>
          <w:sz w:val="24"/>
          <w:szCs w:val="24"/>
          <w:u w:val="none"/>
        </w:rPr>
        <w:t>2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5</w:t>
      </w:r>
      <w:r>
        <w:rPr>
          <w:b/>
          <w:bCs/>
          <w:sz w:val="24"/>
          <w:szCs w:val="24"/>
          <w:u w:val="none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JULHO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Denomina a Biblioteca Municipal.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denominada a Biblioteca Municipal de Biblioteca Pedrinho Niedermeier.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2º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Application>LibreOffice/7.0.1.2$Windows_X86_64 LibreOffice_project/7cbcfc562f6eb6708b5ff7d7397325de9e764452</Application>
  <Pages>2</Pages>
  <Words>163</Words>
  <Characters>859</Characters>
  <CharactersWithSpaces>1012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2021-10-05T11:09:23Z</cp:lastPrinted>
  <dcterms:modified xsi:type="dcterms:W3CDTF">2021-10-14T10:26:48Z</dcterms:modified>
  <cp:revision>243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