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871855" cy="968375"/>
            <wp:effectExtent l="0" t="0" r="0" b="0"/>
            <wp:wrapSquare wrapText="largest"/>
            <wp:docPr id="1" name="Imagem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1" descr=""/>
                    <pic:cNvPicPr>
                      <a:picLocks noChangeAspect="1" noChangeArrowheads="1"/>
                    </pic:cNvPicPr>
                  </pic:nvPicPr>
                  <pic:blipFill>
                    <a:blip r:embed="rId2"/>
                    <a:stretch>
                      <a:fillRect/>
                    </a:stretch>
                  </pic:blipFill>
                  <pic:spPr bwMode="auto">
                    <a:xfrm>
                      <a:off x="0" y="0"/>
                      <a:ext cx="871855" cy="96837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Bookman Old Style" w:hAnsi="Bookman Old Style"/>
          <w:sz w:val="22"/>
          <w:szCs w:val="22"/>
        </w:rPr>
      </w:pPr>
      <w:r>
        <w:rPr>
          <w:rFonts w:ascii="Bookman Old Style" w:hAnsi="Bookman Old Style"/>
          <w:sz w:val="22"/>
          <w:szCs w:val="22"/>
        </w:rPr>
        <w:t>Estado do Rio Grande do Sul</w:t>
      </w:r>
    </w:p>
    <w:p>
      <w:pPr>
        <w:pStyle w:val="Normal"/>
        <w:jc w:val="center"/>
        <w:rPr>
          <w:rFonts w:ascii="Bookman Old Style" w:hAnsi="Bookman Old Style"/>
          <w:b/>
          <w:b/>
          <w:sz w:val="22"/>
          <w:szCs w:val="22"/>
        </w:rPr>
      </w:pPr>
      <w:r>
        <w:rPr>
          <w:rFonts w:ascii="Bookman Old Style" w:hAnsi="Bookman Old Style"/>
          <w:b/>
          <w:sz w:val="22"/>
          <w:szCs w:val="22"/>
        </w:rPr>
        <w:t>CÂMARA MUNICIPAL DE VEREADORES DE TRÊS PASSOS</w:t>
      </w:r>
    </w:p>
    <w:p>
      <w:pPr>
        <w:pStyle w:val="Corpodotextorecuado"/>
        <w:ind w:left="0" w:hanging="0"/>
        <w:jc w:val="center"/>
        <w:rPr>
          <w:b/>
          <w:b/>
          <w:bCs/>
          <w:sz w:val="22"/>
          <w:szCs w:val="22"/>
        </w:rPr>
      </w:pPr>
      <w:r>
        <w:rPr>
          <w:b/>
          <w:bCs/>
          <w:sz w:val="22"/>
          <w:szCs w:val="22"/>
        </w:rPr>
        <w:t>PARECER DA COMISSÃO DE CONSTITUIÇÃO, REDAÇÃO E BEM-ESTAR SOCIAL.</w:t>
      </w:r>
    </w:p>
    <w:p>
      <w:pPr>
        <w:pStyle w:val="Corpodotextorecuado"/>
        <w:ind w:left="0" w:hanging="0"/>
        <w:jc w:val="center"/>
        <w:rPr>
          <w:b/>
          <w:b/>
          <w:bCs/>
          <w:sz w:val="22"/>
          <w:szCs w:val="22"/>
        </w:rPr>
      </w:pPr>
      <w:r>
        <w:rPr>
          <w:b/>
          <w:bCs/>
          <w:sz w:val="22"/>
          <w:szCs w:val="22"/>
        </w:rPr>
      </w:r>
    </w:p>
    <w:p>
      <w:pPr>
        <w:pStyle w:val="Corpodotextorecuado"/>
        <w:ind w:left="3238" w:hanging="3238"/>
        <w:rPr/>
      </w:pPr>
      <w:r>
        <w:rPr>
          <w:b/>
        </w:rPr>
        <w:t>Processo:</w:t>
      </w:r>
      <w:r>
        <w:rPr/>
        <w:t xml:space="preserve"> n</w:t>
      </w:r>
      <w:r>
        <w:rPr>
          <w:strike/>
        </w:rPr>
        <w:t>º</w:t>
      </w:r>
      <w:r>
        <w:rPr/>
        <w:t xml:space="preserve"> 177/2021</w:t>
        <w:tab/>
        <w:tab/>
        <w:tab/>
      </w:r>
      <w:r>
        <w:rPr>
          <w:b/>
        </w:rPr>
        <w:t>Data:</w:t>
      </w:r>
      <w:r>
        <w:rPr/>
        <w:t xml:space="preserve"> 10/09/2021</w:t>
      </w:r>
    </w:p>
    <w:p>
      <w:pPr>
        <w:pStyle w:val="Corpodotextorecuado"/>
        <w:ind w:left="3238" w:hanging="3238"/>
        <w:rPr/>
      </w:pPr>
      <w:r>
        <w:rPr>
          <w:b/>
        </w:rPr>
        <w:t xml:space="preserve">Matéria: </w:t>
      </w:r>
      <w:r>
        <w:rPr/>
        <w:t>Projeto de lei legislativa</w:t>
        <w:tab/>
        <w:tab/>
      </w:r>
      <w:r>
        <w:rPr>
          <w:b/>
        </w:rPr>
        <w:t>Autor</w:t>
      </w:r>
      <w:r>
        <w:rPr/>
        <w:t>: Vereador Edivan N. Baron</w:t>
      </w:r>
    </w:p>
    <w:p>
      <w:pPr>
        <w:pStyle w:val="Corpodotextorecuado"/>
        <w:ind w:left="3458" w:hanging="3458"/>
        <w:jc w:val="both"/>
        <w:rPr/>
      </w:pPr>
      <w:r>
        <w:rPr>
          <w:b/>
        </w:rPr>
        <w:t xml:space="preserve">Relator: </w:t>
      </w:r>
      <w:r>
        <w:rPr/>
        <w:t>Diego Hider Maciel</w:t>
        <w:tab/>
        <w:tab/>
        <w:tab/>
      </w:r>
      <w:r>
        <w:rPr>
          <w:b/>
        </w:rPr>
        <w:t>Conclusão do Voto:</w:t>
      </w:r>
      <w:r>
        <w:rPr/>
        <w:t xml:space="preserve"> Favorável com Emendas</w:t>
      </w:r>
    </w:p>
    <w:p>
      <w:pPr>
        <w:pStyle w:val="Corpodotextorecuado"/>
        <w:ind w:left="3238" w:hanging="3238"/>
        <w:jc w:val="both"/>
        <w:rPr/>
      </w:pPr>
      <w:r>
        <w:rPr>
          <w:b/>
          <w:bCs/>
        </w:rPr>
        <w:t>N</w:t>
      </w:r>
      <w:r>
        <w:rPr>
          <w:b/>
          <w:bCs/>
          <w:strike/>
        </w:rPr>
        <w:t>º</w:t>
      </w:r>
      <w:r>
        <w:rPr>
          <w:b/>
          <w:bCs/>
        </w:rPr>
        <w:t xml:space="preserve"> da Matéria: </w:t>
      </w:r>
      <w:r>
        <w:rPr/>
        <w:t>14</w:t>
      </w:r>
      <w:r>
        <w:rPr>
          <w:bCs/>
        </w:rPr>
        <w:t>/21</w:t>
      </w:r>
    </w:p>
    <w:p>
      <w:pPr>
        <w:pStyle w:val="Corpodotextorecuado"/>
        <w:ind w:left="0" w:hanging="0"/>
        <w:jc w:val="both"/>
        <w:rPr>
          <w:b/>
          <w:b/>
          <w:bCs/>
        </w:rPr>
      </w:pPr>
      <w:r>
        <w:rPr>
          <w:b/>
          <w:bCs/>
        </w:rPr>
        <w:t xml:space="preserve">Ementa: </w:t>
      </w:r>
      <w:r>
        <w:rPr/>
        <w:t>FICA DETERMINADA A PUBLICAÇÃO ELETRÔNICA DA LISTA DE ESPERA PARA OS SERVIÇOS DE HORAS-MÁQUINA AOS PRODUTORES RURAIS NO ÂMBITO DO MUNICÍPIO DE TRÊS PASSOS/RS.</w:t>
      </w:r>
    </w:p>
    <w:p>
      <w:pPr>
        <w:pStyle w:val="Corpodotextorecuado"/>
        <w:ind w:left="3238" w:hanging="3238"/>
        <w:jc w:val="both"/>
        <w:rPr>
          <w:b/>
          <w:b/>
          <w:bCs/>
        </w:rPr>
      </w:pPr>
      <w:r>
        <w:rPr>
          <w:b/>
          <w:bCs/>
        </w:rPr>
      </w:r>
    </w:p>
    <w:p>
      <w:pPr>
        <w:pStyle w:val="Corpodotextorecuado"/>
        <w:jc w:val="both"/>
        <w:rPr>
          <w:bCs/>
        </w:rPr>
      </w:pPr>
      <w:r>
        <w:rPr>
          <w:bCs/>
        </w:rPr>
      </w:r>
    </w:p>
    <w:p>
      <w:pPr>
        <w:pStyle w:val="Corpodotextorecuado"/>
        <w:ind w:left="0" w:firstLine="737"/>
        <w:jc w:val="both"/>
        <w:rPr/>
      </w:pPr>
      <w:r>
        <w:rPr/>
        <w:t>A Comissão de Constituição, Redação e Bem-Estar Social, por seus membros emite parecer ao</w:t>
      </w:r>
      <w:r>
        <w:rPr>
          <w:bCs/>
        </w:rPr>
        <w:t xml:space="preserve"> projeto de lei legislativa n</w:t>
      </w:r>
      <w:r>
        <w:rPr>
          <w:bCs/>
          <w:strike/>
        </w:rPr>
        <w:t>º</w:t>
      </w:r>
      <w:r>
        <w:rPr>
          <w:bCs/>
        </w:rPr>
        <w:t xml:space="preserve"> 14, de 2021, </w:t>
      </w:r>
      <w:r>
        <w:rPr/>
        <w:t>conforme segue:</w:t>
      </w:r>
    </w:p>
    <w:p>
      <w:pPr>
        <w:pStyle w:val="Corpodotextorecuado"/>
        <w:ind w:left="-142" w:firstLine="850"/>
        <w:jc w:val="both"/>
        <w:rPr/>
      </w:pPr>
      <w:r>
        <w:rPr/>
      </w:r>
    </w:p>
    <w:p>
      <w:pPr>
        <w:pStyle w:val="Normal"/>
        <w:jc w:val="center"/>
        <w:rPr/>
      </w:pPr>
      <w:r>
        <w:rPr>
          <w:b/>
          <w:bCs/>
        </w:rPr>
        <w:t>Relatório:</w:t>
      </w:r>
    </w:p>
    <w:p>
      <w:pPr>
        <w:pStyle w:val="Normal"/>
        <w:jc w:val="center"/>
        <w:rPr>
          <w:b/>
          <w:b/>
          <w:bCs/>
        </w:rPr>
      </w:pPr>
      <w:r>
        <w:rPr>
          <w:b/>
          <w:bCs/>
        </w:rPr>
      </w:r>
    </w:p>
    <w:p>
      <w:pPr>
        <w:pStyle w:val="Normal"/>
        <w:ind w:firstLine="708"/>
        <w:jc w:val="both"/>
        <w:rPr/>
      </w:pPr>
      <w:r>
        <w:rPr>
          <w:bCs/>
        </w:rPr>
        <w:t>O Projeto de Lei em análise foi lido na sessão ordinária do dia 21 de setembro de 2021, e tem como objetivo determinar</w:t>
      </w:r>
      <w:r>
        <w:rPr/>
        <w:t xml:space="preserve"> a publicação eletrônica da lista de espera para os serviços de horas-máquina aos produtores rurais no âmbito do Município de Três Passos/RS.</w:t>
      </w:r>
    </w:p>
    <w:p>
      <w:pPr>
        <w:pStyle w:val="Normal"/>
        <w:ind w:firstLine="708"/>
        <w:jc w:val="both"/>
        <w:rPr/>
      </w:pPr>
      <w:r>
        <w:rPr/>
      </w:r>
    </w:p>
    <w:p>
      <w:pPr>
        <w:pStyle w:val="Normal"/>
        <w:ind w:firstLine="708"/>
        <w:jc w:val="both"/>
        <w:rPr/>
      </w:pPr>
      <w:r>
        <w:rPr/>
        <w:t>Houve a apresentação de Emenda Modificativa, a qual propôs a alteração do art. 6</w:t>
      </w:r>
      <w:r>
        <w:rPr>
          <w:strike/>
        </w:rPr>
        <w:t>º</w:t>
      </w:r>
      <w:r>
        <w:rPr/>
        <w:t xml:space="preserve"> do projeto e recebeu parecer contrário desta Comissão. </w:t>
      </w:r>
    </w:p>
    <w:p>
      <w:pPr>
        <w:pStyle w:val="Normal"/>
        <w:ind w:firstLine="708"/>
        <w:jc w:val="both"/>
        <w:rPr>
          <w:bCs/>
        </w:rPr>
      </w:pPr>
      <w:r>
        <w:rPr>
          <w:bCs/>
        </w:rPr>
      </w:r>
    </w:p>
    <w:p>
      <w:pPr>
        <w:pStyle w:val="Normal"/>
        <w:ind w:firstLine="708"/>
        <w:jc w:val="both"/>
        <w:rPr>
          <w:bCs/>
        </w:rPr>
      </w:pPr>
      <w:r>
        <w:rPr>
          <w:bCs/>
        </w:rPr>
      </w:r>
    </w:p>
    <w:p>
      <w:pPr>
        <w:pStyle w:val="Normal"/>
        <w:jc w:val="center"/>
        <w:rPr/>
      </w:pPr>
      <w:r>
        <w:rPr>
          <w:b/>
          <w:bCs/>
        </w:rPr>
        <w:t>Análise:</w:t>
      </w:r>
    </w:p>
    <w:p>
      <w:pPr>
        <w:pStyle w:val="Normal"/>
        <w:jc w:val="center"/>
        <w:rPr>
          <w:b/>
          <w:b/>
          <w:bCs/>
        </w:rPr>
      </w:pPr>
      <w:r>
        <w:rPr>
          <w:b/>
          <w:bCs/>
        </w:rPr>
      </w:r>
    </w:p>
    <w:p>
      <w:pPr>
        <w:pStyle w:val="Normal"/>
        <w:ind w:firstLine="680"/>
        <w:jc w:val="both"/>
        <w:rPr/>
      </w:pPr>
      <w:r>
        <w:rPr>
          <w:bCs/>
        </w:rPr>
        <w:t>1. Inicialmente, cumpre registrar que a proposição analisada versa sobre assunto de interesse local, estando, portanto, na órbita de competência legislativa do Município e em conformidade com o permissivo constitucional constante do art. 30, I, da Constituição Federal, cujo conteúdo foi recepcionado na Lei Orgânica Municipal.</w:t>
      </w:r>
    </w:p>
    <w:p>
      <w:pPr>
        <w:pStyle w:val="Normal"/>
        <w:ind w:firstLine="680"/>
        <w:jc w:val="both"/>
        <w:rPr>
          <w:bCs/>
        </w:rPr>
      </w:pPr>
      <w:r>
        <w:rPr>
          <w:bCs/>
        </w:rPr>
      </w:r>
    </w:p>
    <w:p>
      <w:pPr>
        <w:pStyle w:val="Normal"/>
        <w:ind w:firstLine="708"/>
        <w:jc w:val="both"/>
        <w:rPr/>
      </w:pPr>
      <w:r>
        <w:rPr>
          <w:bCs/>
        </w:rPr>
        <w:t>Assim, ao estabelecer regras acerca da publicação eletrônica da lista de espera para os serviços de horas-máquina aos produtores rurais, o Município legisla dentro de sua esfera de competência, observada a divisão de competências legislativas estabelecida pela Constituição Federal.</w:t>
      </w:r>
    </w:p>
    <w:p>
      <w:pPr>
        <w:pStyle w:val="Normal"/>
        <w:ind w:firstLine="708"/>
        <w:jc w:val="both"/>
        <w:rPr>
          <w:bCs/>
        </w:rPr>
      </w:pPr>
      <w:r>
        <w:rPr>
          <w:bCs/>
        </w:rPr>
      </w:r>
    </w:p>
    <w:p>
      <w:pPr>
        <w:pStyle w:val="Normal"/>
        <w:ind w:firstLine="708"/>
        <w:jc w:val="both"/>
        <w:rPr/>
      </w:pPr>
      <w:r>
        <w:rPr>
          <w:bCs/>
        </w:rPr>
        <w:t xml:space="preserve">Quanto ao aspecto formal subjetivo, apesar de a Lei Orgânica do Município dispor a respeito da iniciativa legislativa privativa do Prefeito para projetos que digam respeito à organização e funcionamento da administração, tal norma deve ser interpretada restritivamente, ou seja, somente no plexo de atribuições que a Constituição Federal confere como de iniciativa exclusiva do Chefe do Poder Executivo. </w:t>
      </w:r>
    </w:p>
    <w:p>
      <w:pPr>
        <w:pStyle w:val="Normal"/>
        <w:ind w:firstLine="708"/>
        <w:jc w:val="both"/>
        <w:rPr>
          <w:bCs/>
        </w:rPr>
      </w:pPr>
      <w:r>
        <w:rPr>
          <w:bCs/>
        </w:rPr>
      </w:r>
    </w:p>
    <w:p>
      <w:pPr>
        <w:pStyle w:val="Normal"/>
        <w:ind w:firstLine="708"/>
        <w:jc w:val="both"/>
        <w:rPr/>
      </w:pPr>
      <w:r>
        <w:rPr>
          <w:bCs/>
        </w:rPr>
        <w:t>Nesse sentido, a leitura do art. 61, § 1</w:t>
      </w:r>
      <w:r>
        <w:rPr>
          <w:bCs/>
          <w:strike/>
        </w:rPr>
        <w:t>º</w:t>
      </w:r>
      <w:r>
        <w:rPr>
          <w:bCs/>
        </w:rPr>
        <w:t>, da Carta da República permite concluir que essa iniciativa se refere à estrutura e atribuição de seus órgãos, bem como ao regime jurídico dos seus servidores.</w:t>
      </w:r>
    </w:p>
    <w:p>
      <w:pPr>
        <w:pStyle w:val="Normal"/>
        <w:ind w:firstLine="708"/>
        <w:jc w:val="both"/>
        <w:rPr>
          <w:bCs/>
        </w:rPr>
      </w:pPr>
      <w:r>
        <w:rPr>
          <w:bCs/>
        </w:rPr>
      </w:r>
    </w:p>
    <w:p>
      <w:pPr>
        <w:pStyle w:val="Normal"/>
        <w:ind w:firstLine="708"/>
        <w:jc w:val="both"/>
        <w:rPr/>
      </w:pPr>
      <w:r>
        <w:rPr>
          <w:bCs/>
        </w:rPr>
        <w:t>Acerca do tema, importa destacar que o Supremo Tribunal Federal, ao analisar o tema pertinente aos limites da iniciativa legislativa parlamentar, decidiu, em sede de repercussão geral (Tema 917), que “há vício de iniciativa de Lei, em decorrência de interferência entre Poderes, na hipótese de propositura por parlamentar local, quando tratar (i) da estrutura ou atribuição de órgãos do Executivo, ou ainda, (ii) dispuser sobre o regime jurídico dos servidores públicos.</w:t>
      </w:r>
    </w:p>
    <w:p>
      <w:pPr>
        <w:pStyle w:val="Normal"/>
        <w:ind w:firstLine="708"/>
        <w:jc w:val="both"/>
        <w:rPr>
          <w:bCs/>
        </w:rPr>
      </w:pPr>
      <w:r>
        <w:rPr>
          <w:bCs/>
        </w:rPr>
      </w:r>
    </w:p>
    <w:p>
      <w:pPr>
        <w:pStyle w:val="Normal"/>
        <w:ind w:firstLine="708"/>
        <w:jc w:val="both"/>
        <w:rPr/>
      </w:pPr>
      <w:r>
        <w:rPr>
          <w:bCs/>
        </w:rPr>
        <w:t>Especificamente quan</w:t>
      </w:r>
      <w:r>
        <w:rPr>
          <w:bCs/>
        </w:rPr>
        <w:t>t</w:t>
      </w:r>
      <w:r>
        <w:rPr>
          <w:bCs/>
        </w:rPr>
        <w:t xml:space="preserve">o </w:t>
      </w:r>
      <w:r>
        <w:rPr>
          <w:bCs/>
        </w:rPr>
        <w:t>à</w:t>
      </w:r>
      <w:r>
        <w:rPr>
          <w:bCs/>
        </w:rPr>
        <w:t xml:space="preserve"> matéria em análise - </w:t>
      </w:r>
      <w:r>
        <w:rPr/>
        <w:t xml:space="preserve">publicação eletrônica da lista de espera para os serviços de horas-máquina aos produtores rurais </w:t>
      </w:r>
      <w:r>
        <w:rPr>
          <w:bCs/>
        </w:rPr>
        <w:t>- importante aduzir que, em homenagem às leis de transparência e acesso à informação, não se vislumbram obstáculos para se colocar à disposição da comunidade as informações indicadas no Projeto de Lei, pois não criam novas atribuições para órgão do Poder Executivo.</w:t>
      </w:r>
    </w:p>
    <w:p>
      <w:pPr>
        <w:pStyle w:val="Normal"/>
        <w:ind w:firstLine="708"/>
        <w:jc w:val="both"/>
        <w:rPr>
          <w:bCs/>
        </w:rPr>
      </w:pPr>
      <w:r>
        <w:rPr>
          <w:bCs/>
        </w:rPr>
      </w:r>
    </w:p>
    <w:p>
      <w:pPr>
        <w:pStyle w:val="Normal"/>
        <w:ind w:firstLine="708"/>
        <w:jc w:val="both"/>
        <w:rPr/>
      </w:pPr>
      <w:r>
        <w:rPr>
          <w:bCs/>
        </w:rPr>
        <w:t xml:space="preserve">Nessa mesma linha decisória, a Suprema Corte tem entendimento assentado no sentido de que leis com conteúdo normativo que objetivam dar concretude aos princípios constitucionais de gestão pública, referidos no art. 37, </w:t>
      </w:r>
      <w:r>
        <w:rPr>
          <w:bCs/>
          <w:i/>
          <w:iCs/>
        </w:rPr>
        <w:t>caput</w:t>
      </w:r>
      <w:r>
        <w:rPr>
          <w:bCs/>
        </w:rPr>
        <w:t>, da Constituição da República, não têm reserva de iniciativa, podendo, o processo legislativo, ser deflagrado tanto pelo Poder Executivo quanto pelo Legislativo, consoante se observa da decisão exarada no Recurso Extraordinário n</w:t>
      </w:r>
      <w:r>
        <w:rPr>
          <w:bCs/>
          <w:strike/>
        </w:rPr>
        <w:t>º</w:t>
      </w:r>
      <w:r>
        <w:rPr>
          <w:bCs/>
        </w:rPr>
        <w:t xml:space="preserve"> 570.392/RS, de 2015, da relatoria da Ministra Carmem Lúcia.</w:t>
      </w:r>
    </w:p>
    <w:p>
      <w:pPr>
        <w:pStyle w:val="Normal"/>
        <w:ind w:firstLine="708"/>
        <w:jc w:val="both"/>
        <w:rPr>
          <w:bCs/>
        </w:rPr>
      </w:pPr>
      <w:r>
        <w:rPr>
          <w:bCs/>
        </w:rPr>
      </w:r>
    </w:p>
    <w:p>
      <w:pPr>
        <w:pStyle w:val="Normal"/>
        <w:ind w:firstLine="708"/>
        <w:jc w:val="both"/>
        <w:rPr/>
      </w:pPr>
      <w:r>
        <w:rPr>
          <w:bCs/>
        </w:rPr>
        <w:t>Desta forma, longe de disciplinar a forma de prestação dos serviços públicos ou imiscuir-se indevidamente nas atribuições dos cargos do quadro de pessoal e órgãos da municipalidade, as normas extraídas do texto projetado dão concretude ao princípio da transparência, decorrência da própria ideia de Estado Democrático de Direito e, em especial, do contido nos arts. 5</w:t>
      </w:r>
      <w:r>
        <w:rPr>
          <w:bCs/>
          <w:strike/>
        </w:rPr>
        <w:t>º</w:t>
      </w:r>
      <w:r>
        <w:rPr>
          <w:bCs/>
        </w:rPr>
        <w:t>, XXXIII (regulamentado pela Lei n</w:t>
      </w:r>
      <w:r>
        <w:rPr>
          <w:bCs/>
          <w:strike/>
        </w:rPr>
        <w:t>º</w:t>
      </w:r>
      <w:r>
        <w:rPr>
          <w:bCs/>
        </w:rPr>
        <w:t xml:space="preserve"> 12.527/2011), 37, caput, e § 3</w:t>
      </w:r>
      <w:r>
        <w:rPr>
          <w:bCs/>
          <w:strike/>
        </w:rPr>
        <w:t>º</w:t>
      </w:r>
      <w:r>
        <w:rPr>
          <w:bCs/>
        </w:rPr>
        <w:t>, II, da Constituição Federal, tratando do direito fundamental à obtenção de informações de caráter público e da observância ao princípio da publicidade administrativa.</w:t>
      </w:r>
    </w:p>
    <w:p>
      <w:pPr>
        <w:pStyle w:val="Normal"/>
        <w:ind w:firstLine="708"/>
        <w:jc w:val="both"/>
        <w:rPr>
          <w:bCs/>
        </w:rPr>
      </w:pPr>
      <w:r>
        <w:rPr>
          <w:bCs/>
        </w:rPr>
      </w:r>
    </w:p>
    <w:p>
      <w:pPr>
        <w:pStyle w:val="Normal"/>
        <w:ind w:firstLine="708"/>
        <w:jc w:val="both"/>
        <w:rPr/>
      </w:pPr>
      <w:r>
        <w:rPr>
          <w:bCs/>
        </w:rPr>
        <w:t xml:space="preserve">Não obstante, cumpre observar que a proposição contém incongruência que, se não for excluída do texto, o tornará inviável juridicamente, por ofensa ao princípio da independência dos poderes. </w:t>
      </w:r>
    </w:p>
    <w:p>
      <w:pPr>
        <w:pStyle w:val="Normal"/>
        <w:ind w:firstLine="708"/>
        <w:jc w:val="both"/>
        <w:rPr>
          <w:bCs/>
        </w:rPr>
      </w:pPr>
      <w:r>
        <w:rPr>
          <w:bCs/>
        </w:rPr>
      </w:r>
    </w:p>
    <w:p>
      <w:pPr>
        <w:pStyle w:val="Normal"/>
        <w:ind w:firstLine="708"/>
        <w:jc w:val="both"/>
        <w:rPr/>
      </w:pPr>
      <w:r>
        <w:rPr>
          <w:bCs/>
        </w:rPr>
        <w:t>Referida incongruência consta do comando contido no art. 6</w:t>
      </w:r>
      <w:r>
        <w:rPr>
          <w:bCs/>
          <w:strike/>
        </w:rPr>
        <w:t>º</w:t>
      </w:r>
      <w:r>
        <w:rPr>
          <w:bCs/>
        </w:rPr>
        <w:t xml:space="preserve"> do texto projetado, o qual estabelece o prazo de 60 (sessenta) dias para o Prefeito regulamentar a vindoura lei.</w:t>
      </w:r>
    </w:p>
    <w:p>
      <w:pPr>
        <w:pStyle w:val="Normal"/>
        <w:ind w:firstLine="708"/>
        <w:jc w:val="both"/>
        <w:rPr>
          <w:bCs/>
        </w:rPr>
      </w:pPr>
      <w:r>
        <w:rPr>
          <w:bCs/>
        </w:rPr>
      </w:r>
    </w:p>
    <w:p>
      <w:pPr>
        <w:pStyle w:val="Normal"/>
        <w:ind w:firstLine="708"/>
        <w:jc w:val="both"/>
        <w:rPr/>
      </w:pPr>
      <w:r>
        <w:rPr>
          <w:bCs/>
        </w:rPr>
        <w:t xml:space="preserve">Ocorre que a regulamentação de lei é ato da competência privativa do Prefeito, razão pela qual não pode o Legislativo dizer ao chefe do Executivo quando ele deve praticar </w:t>
      </w:r>
      <w:r>
        <w:rPr>
          <w:bCs/>
        </w:rPr>
        <w:t>tal</w:t>
      </w:r>
      <w:r>
        <w:rPr>
          <w:bCs/>
        </w:rPr>
        <w:t xml:space="preserve"> ato, consoante se pode observar do hodierno entendimento jurisprudencial1 acerca do tema.</w:t>
      </w:r>
    </w:p>
    <w:p>
      <w:pPr>
        <w:pStyle w:val="Normal"/>
        <w:ind w:firstLine="708"/>
        <w:jc w:val="both"/>
        <w:rPr>
          <w:bCs/>
        </w:rPr>
      </w:pPr>
      <w:r>
        <w:rPr>
          <w:bCs/>
        </w:rPr>
      </w:r>
    </w:p>
    <w:p>
      <w:pPr>
        <w:pStyle w:val="Normal"/>
        <w:ind w:firstLine="708"/>
        <w:jc w:val="both"/>
        <w:rPr/>
      </w:pPr>
      <w:r>
        <w:rPr>
          <w:bCs/>
        </w:rPr>
        <w:t>Por este motivo, apresenta-se emenda modificativa junto a este Parecer de Comissão, no intuito de sanar a inconstitucionalidade:</w:t>
      </w:r>
    </w:p>
    <w:p>
      <w:pPr>
        <w:pStyle w:val="Normal"/>
        <w:ind w:firstLine="680"/>
        <w:jc w:val="both"/>
        <w:rPr/>
      </w:pPr>
      <w:r>
        <w:rPr>
          <w:bCs/>
        </w:rPr>
        <w:t>Emenda Modificativa</w:t>
      </w:r>
    </w:p>
    <w:p>
      <w:pPr>
        <w:pStyle w:val="Normal"/>
        <w:ind w:firstLine="680"/>
        <w:jc w:val="both"/>
        <w:rPr/>
      </w:pPr>
      <w:r>
        <w:rPr>
          <w:bCs/>
        </w:rPr>
        <w:t>“</w:t>
      </w:r>
      <w:r>
        <w:rPr>
          <w:bCs/>
        </w:rPr>
        <w:t>Altera art. 6</w:t>
      </w:r>
      <w:r>
        <w:rPr>
          <w:bCs/>
          <w:strike/>
        </w:rPr>
        <w:t>º</w:t>
      </w:r>
      <w:r>
        <w:rPr>
          <w:bCs/>
        </w:rPr>
        <w:t xml:space="preserve"> do Projeto de lei legislativa n</w:t>
      </w:r>
      <w:r>
        <w:rPr>
          <w:bCs/>
          <w:strike/>
        </w:rPr>
        <w:t>º</w:t>
      </w:r>
      <w:r>
        <w:rPr>
          <w:bCs/>
        </w:rPr>
        <w:t xml:space="preserve"> 14, de 2021, que passa a ter a seguinte redação: A presente Lei será regulamentada pelo Poder Executivo, no que couber, para a sua fiel execução.”</w:t>
      </w:r>
    </w:p>
    <w:p>
      <w:pPr>
        <w:pStyle w:val="Normal"/>
        <w:ind w:firstLine="708"/>
        <w:jc w:val="both"/>
        <w:rPr>
          <w:bCs/>
        </w:rPr>
      </w:pPr>
      <w:r>
        <w:rPr>
          <w:bCs/>
        </w:rPr>
      </w:r>
    </w:p>
    <w:p>
      <w:pPr>
        <w:pStyle w:val="Normal"/>
        <w:ind w:firstLine="708"/>
        <w:jc w:val="both"/>
        <w:rPr/>
      </w:pPr>
      <w:r>
        <w:rPr>
          <w:bCs/>
        </w:rPr>
        <w:t>2. Em relação à técnica legislativa, tendo em conta o que dispõe a Lei Complementar n</w:t>
      </w:r>
      <w:r>
        <w:rPr>
          <w:bCs/>
          <w:strike/>
        </w:rPr>
        <w:t>º</w:t>
      </w:r>
      <w:r>
        <w:rPr>
          <w:bCs/>
        </w:rPr>
        <w:t xml:space="preserve"> 95, de 26 de fevereiro de 1998, que dispõe sobre as normas para elaboração, redação, alteração e consolidação de leis, destaca-se que o texto da ementa do projeto está grafado em maiúsculo.</w:t>
      </w:r>
    </w:p>
    <w:p>
      <w:pPr>
        <w:pStyle w:val="Normal"/>
        <w:ind w:firstLine="708"/>
        <w:jc w:val="both"/>
        <w:rPr>
          <w:bCs/>
        </w:rPr>
      </w:pPr>
      <w:r>
        <w:rPr>
          <w:bCs/>
        </w:rPr>
      </w:r>
    </w:p>
    <w:p>
      <w:pPr>
        <w:pStyle w:val="Normal"/>
        <w:ind w:firstLine="708"/>
        <w:jc w:val="both"/>
        <w:rPr/>
      </w:pPr>
      <w:r>
        <w:rPr>
          <w:bCs/>
        </w:rPr>
        <w:t>Esta Relatoria, portanto, em atendimento ao que determina o art. 5</w:t>
      </w:r>
      <w:r>
        <w:rPr>
          <w:bCs/>
          <w:strike/>
        </w:rPr>
        <w:t>º</w:t>
      </w:r>
      <w:r>
        <w:rPr>
          <w:bCs/>
        </w:rPr>
        <w:t xml:space="preserve"> da LC n</w:t>
      </w:r>
      <w:r>
        <w:rPr>
          <w:bCs/>
          <w:strike/>
        </w:rPr>
        <w:t>º</w:t>
      </w:r>
      <w:r>
        <w:rPr>
          <w:bCs/>
        </w:rPr>
        <w:t xml:space="preserve"> 95, de 1998, apresenta a emenda modificativa à ementa como segue:</w:t>
      </w:r>
    </w:p>
    <w:p>
      <w:pPr>
        <w:pStyle w:val="Normal"/>
        <w:ind w:firstLine="708"/>
        <w:jc w:val="both"/>
        <w:rPr/>
      </w:pPr>
      <w:r>
        <w:rPr>
          <w:bCs/>
        </w:rPr>
        <w:t>Emenda Modificativa:</w:t>
      </w:r>
    </w:p>
    <w:p>
      <w:pPr>
        <w:pStyle w:val="Normal"/>
        <w:ind w:firstLine="708"/>
        <w:jc w:val="both"/>
        <w:rPr/>
      </w:pPr>
      <w:r>
        <w:rPr>
          <w:bCs/>
        </w:rPr>
        <w:t>“</w:t>
      </w:r>
      <w:r>
        <w:rPr>
          <w:bCs/>
        </w:rPr>
        <w:t xml:space="preserve">A ementa do projeto de lei passa a ter a seguinte redação: </w:t>
      </w:r>
      <w:r>
        <w:rPr/>
        <w:t>Fica determinada a publicação eletrônica da lista de espera para os serviços de horas-máquina aos produtores rurais no âmbito do Município de Três Passos/RS.”</w:t>
      </w:r>
    </w:p>
    <w:p>
      <w:pPr>
        <w:pStyle w:val="Normal"/>
        <w:ind w:firstLine="708"/>
        <w:jc w:val="both"/>
        <w:rPr>
          <w:bCs/>
        </w:rPr>
      </w:pPr>
      <w:r>
        <w:rPr>
          <w:bCs/>
        </w:rPr>
      </w:r>
    </w:p>
    <w:p>
      <w:pPr>
        <w:pStyle w:val="Normal"/>
        <w:jc w:val="center"/>
        <w:rPr>
          <w:b/>
          <w:b/>
          <w:bCs/>
        </w:rPr>
      </w:pPr>
      <w:r>
        <w:rPr>
          <w:b/>
          <w:bCs/>
        </w:rPr>
        <w:t>Conclusão do Voto:</w:t>
      </w:r>
    </w:p>
    <w:p>
      <w:pPr>
        <w:pStyle w:val="Normal"/>
        <w:ind w:firstLine="708"/>
        <w:jc w:val="both"/>
        <w:rPr>
          <w:bCs/>
        </w:rPr>
      </w:pPr>
      <w:r>
        <w:rPr>
          <w:bCs/>
        </w:rPr>
      </w:r>
    </w:p>
    <w:p>
      <w:pPr>
        <w:pStyle w:val="Normal"/>
        <w:ind w:firstLine="708"/>
        <w:jc w:val="both"/>
        <w:rPr/>
      </w:pPr>
      <w:r>
        <w:rPr>
          <w:bCs/>
        </w:rPr>
        <w:t>3. Diante dos fundamentos legais e constitucionais expostos, bem como os ajustes propostos quanto à alteração do art. 6</w:t>
      </w:r>
      <w:r>
        <w:rPr>
          <w:bCs/>
          <w:strike/>
        </w:rPr>
        <w:t>º</w:t>
      </w:r>
      <w:r>
        <w:rPr>
          <w:bCs/>
        </w:rPr>
        <w:t>, em virtude de apresentar conteúdo inconstitucional, e à ementa do projeto, para atender às normas da técnica legislativa, esta Relatoria, depois de debate realizado na Comissão, disponibiliza o presente Voto favorável à tramitação da matéria com emendas modificativas.</w:t>
      </w:r>
    </w:p>
    <w:p>
      <w:pPr>
        <w:pStyle w:val="Normal"/>
        <w:ind w:firstLine="708"/>
        <w:jc w:val="both"/>
        <w:rPr>
          <w:bCs/>
        </w:rPr>
      </w:pPr>
      <w:r>
        <w:rPr>
          <w:bCs/>
        </w:rPr>
      </w:r>
    </w:p>
    <w:p>
      <w:pPr>
        <w:pStyle w:val="Normal"/>
        <w:ind w:firstLine="708"/>
        <w:jc w:val="both"/>
        <w:rPr/>
      </w:pPr>
      <w:r>
        <w:rPr>
          <w:bCs/>
        </w:rPr>
        <w:t>Sala das Comissões, 28 de outubro de 2021.</w:t>
      </w:r>
    </w:p>
    <w:p>
      <w:pPr>
        <w:pStyle w:val="Normal"/>
        <w:ind w:firstLine="708"/>
        <w:jc w:val="both"/>
        <w:rPr>
          <w:bCs/>
        </w:rPr>
      </w:pPr>
      <w:r>
        <w:rPr>
          <w:bCs/>
        </w:rPr>
      </w:r>
    </w:p>
    <w:p>
      <w:pPr>
        <w:pStyle w:val="Normal"/>
        <w:rPr/>
      </w:pPr>
      <w:r>
        <w:rPr/>
      </w:r>
    </w:p>
    <w:p>
      <w:pPr>
        <w:pStyle w:val="Normal"/>
        <w:rPr/>
      </w:pPr>
      <w:r>
        <w:rPr/>
      </w:r>
    </w:p>
    <w:p>
      <w:pPr>
        <w:pStyle w:val="Normal"/>
        <w:ind w:left="708" w:hanging="0"/>
        <w:rPr/>
      </w:pPr>
      <w:r>
        <w:rPr>
          <w:b/>
        </w:rPr>
        <w:t>____________________________________</w:t>
      </w:r>
    </w:p>
    <w:p>
      <w:pPr>
        <w:pStyle w:val="Normal"/>
        <w:rPr/>
      </w:pPr>
      <w:r>
        <w:rPr/>
        <w:tab/>
        <w:t>DIEGO HIDER MACIEL – RELATOR</w:t>
      </w:r>
    </w:p>
    <w:p>
      <w:pPr>
        <w:pStyle w:val="Normal"/>
        <w:rPr/>
      </w:pPr>
      <w:r>
        <w:rPr/>
      </w:r>
    </w:p>
    <w:p>
      <w:pPr>
        <w:pStyle w:val="Normal"/>
        <w:rPr/>
      </w:pPr>
      <w:r>
        <w:rPr/>
      </w:r>
    </w:p>
    <w:p>
      <w:pPr>
        <w:pStyle w:val="Normal"/>
        <w:rPr/>
      </w:pPr>
      <w:r>
        <w:rPr>
          <w:b/>
        </w:rPr>
        <w:t>Pelas Conclusões:</w:t>
      </w:r>
    </w:p>
    <w:p>
      <w:pPr>
        <w:pStyle w:val="Normal"/>
        <w:rPr>
          <w:b/>
          <w:b/>
        </w:rPr>
      </w:pPr>
      <w:r>
        <w:rPr>
          <w:b/>
        </w:rPr>
      </w:r>
    </w:p>
    <w:p>
      <w:pPr>
        <w:pStyle w:val="Normal"/>
        <w:rPr>
          <w:b/>
          <w:b/>
        </w:rPr>
      </w:pPr>
      <w:r>
        <w:rPr>
          <w:b/>
        </w:rPr>
      </w:r>
    </w:p>
    <w:p>
      <w:pPr>
        <w:pStyle w:val="Normal"/>
        <w:rPr>
          <w:b/>
          <w:b/>
        </w:rPr>
      </w:pPr>
      <w:r>
        <w:rPr>
          <w:b/>
        </w:rPr>
      </w:r>
    </w:p>
    <w:p>
      <w:pPr>
        <w:pStyle w:val="Normal"/>
        <w:rPr/>
      </w:pPr>
      <w:r>
        <w:rPr/>
        <w:tab/>
        <w:t>____________________________________</w:t>
      </w:r>
    </w:p>
    <w:p>
      <w:pPr>
        <w:pStyle w:val="Normal"/>
        <w:rPr/>
      </w:pPr>
      <w:r>
        <w:rPr/>
        <w:tab/>
        <w:t>JAIR LOCATELLI - PRESIDENTE</w:t>
      </w:r>
    </w:p>
    <w:p>
      <w:pPr>
        <w:pStyle w:val="Normal"/>
        <w:rPr>
          <w:b/>
          <w:b/>
        </w:rPr>
      </w:pPr>
      <w:r>
        <w:rPr>
          <w:b/>
        </w:rPr>
      </w:r>
    </w:p>
    <w:p>
      <w:pPr>
        <w:pStyle w:val="Normal"/>
        <w:rPr/>
      </w:pPr>
      <w:r>
        <w:rPr/>
      </w:r>
    </w:p>
    <w:p>
      <w:pPr>
        <w:pStyle w:val="Normal"/>
        <w:rPr>
          <w:b/>
          <w:b/>
        </w:rPr>
      </w:pPr>
      <w:r>
        <w:rPr>
          <w:b/>
        </w:rPr>
      </w:r>
    </w:p>
    <w:p>
      <w:pPr>
        <w:pStyle w:val="Normal"/>
        <w:ind w:firstLine="708"/>
        <w:rPr/>
      </w:pPr>
      <w:r>
        <w:rPr/>
        <w:t>__________________________________________</w:t>
      </w:r>
    </w:p>
    <w:p>
      <w:pPr>
        <w:pStyle w:val="Normal"/>
        <w:ind w:firstLine="708"/>
        <w:rPr/>
      </w:pPr>
      <w:r>
        <w:rPr/>
        <w:t>DAIANA VANESSA BALD - VICE-PRESIDENTE</w:t>
      </w:r>
    </w:p>
    <w:sectPr>
      <w:type w:val="nextPage"/>
      <w:pgSz w:w="11906" w:h="16838"/>
      <w:pgMar w:left="1701" w:right="1191" w:header="0" w:top="982"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Bookman Old Style">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f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rsid w:val="00e851aa"/>
    <w:pPr>
      <w:keepNext w:val="true"/>
      <w:spacing w:before="240" w:after="60"/>
      <w:outlineLvl w:val="0"/>
    </w:pPr>
    <w:rPr>
      <w:rFonts w:ascii="Arial" w:hAnsi="Arial"/>
      <w:b/>
      <w:bCs/>
      <w:kern w:val="2"/>
      <w:sz w:val="32"/>
      <w:szCs w:val="32"/>
      <w:lang w:val="x-none"/>
    </w:rPr>
  </w:style>
  <w:style w:type="paragraph" w:styleId="Ttulo3">
    <w:name w:val="Heading 3"/>
    <w:basedOn w:val="Normal"/>
    <w:next w:val="Normal"/>
    <w:link w:val="Ttulo3Char"/>
    <w:uiPriority w:val="9"/>
    <w:semiHidden/>
    <w:unhideWhenUsed/>
    <w:qFormat/>
    <w:rsid w:val="004c5731"/>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link w:val="Recuodecorpodetexto"/>
    <w:qFormat/>
    <w:rsid w:val="00ad6f69"/>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ad6f69"/>
    <w:rPr>
      <w:rFonts w:ascii="Times New Roman" w:hAnsi="Times New Roman" w:eastAsia="Times New Roman" w:cs="Times New Roman"/>
      <w:sz w:val="24"/>
      <w:szCs w:val="24"/>
    </w:rPr>
  </w:style>
  <w:style w:type="character" w:styleId="TextodebaloChar" w:customStyle="1">
    <w:name w:val="Texto de balão Char"/>
    <w:basedOn w:val="DefaultParagraphFont"/>
    <w:link w:val="Textodebalo"/>
    <w:uiPriority w:val="99"/>
    <w:semiHidden/>
    <w:qFormat/>
    <w:rsid w:val="00326871"/>
    <w:rPr>
      <w:rFonts w:ascii="Segoe UI" w:hAnsi="Segoe UI" w:eastAsia="Times New Roman" w:cs="Segoe UI"/>
      <w:sz w:val="18"/>
      <w:szCs w:val="18"/>
      <w:lang w:eastAsia="pt-BR"/>
    </w:rPr>
  </w:style>
  <w:style w:type="character" w:styleId="Ttulo1Char" w:customStyle="1">
    <w:name w:val="Título 1 Char"/>
    <w:basedOn w:val="DefaultParagraphFont"/>
    <w:link w:val="Ttulo1"/>
    <w:qFormat/>
    <w:rsid w:val="00e851aa"/>
    <w:rPr>
      <w:rFonts w:ascii="Arial" w:hAnsi="Arial" w:eastAsia="Times New Roman" w:cs="Times New Roman"/>
      <w:b/>
      <w:bCs/>
      <w:kern w:val="2"/>
      <w:sz w:val="32"/>
      <w:szCs w:val="32"/>
      <w:lang w:val="x-none" w:eastAsia="pt-BR"/>
    </w:rPr>
  </w:style>
  <w:style w:type="character" w:styleId="CabealhoChar" w:customStyle="1">
    <w:name w:val="Cabeçalho Char"/>
    <w:basedOn w:val="DefaultParagraphFont"/>
    <w:link w:val="Cabealho"/>
    <w:uiPriority w:val="99"/>
    <w:qFormat/>
    <w:rsid w:val="009a4b07"/>
    <w:rPr>
      <w:rFonts w:ascii="Times New Roman" w:hAnsi="Times New Roman" w:eastAsia="Times New Roman" w:cs="Times New Roman"/>
      <w:sz w:val="24"/>
      <w:szCs w:val="24"/>
      <w:lang w:eastAsia="pt-BR"/>
    </w:rPr>
  </w:style>
  <w:style w:type="character" w:styleId="RodapChar" w:customStyle="1">
    <w:name w:val="Rodapé Char"/>
    <w:basedOn w:val="DefaultParagraphFont"/>
    <w:link w:val="Rodap"/>
    <w:uiPriority w:val="99"/>
    <w:qFormat/>
    <w:rsid w:val="009a4b07"/>
    <w:rPr>
      <w:rFonts w:ascii="Times New Roman" w:hAnsi="Times New Roman" w:eastAsia="Times New Roman" w:cs="Times New Roman"/>
      <w:sz w:val="24"/>
      <w:szCs w:val="24"/>
      <w:lang w:eastAsia="pt-BR"/>
    </w:rPr>
  </w:style>
  <w:style w:type="character" w:styleId="Ttulo3Char" w:customStyle="1">
    <w:name w:val="Título 3 Char"/>
    <w:basedOn w:val="DefaultParagraphFont"/>
    <w:link w:val="Ttulo3"/>
    <w:uiPriority w:val="9"/>
    <w:semiHidden/>
    <w:qFormat/>
    <w:rsid w:val="004c5731"/>
    <w:rPr>
      <w:rFonts w:ascii="Calibri Light" w:hAnsi="Calibri Light" w:eastAsia="" w:cs="" w:asciiTheme="majorHAnsi" w:cstheme="majorBidi" w:eastAsiaTheme="majorEastAsia" w:hAnsiTheme="majorHAnsi"/>
      <w:color w:val="1F4D78" w:themeColor="accent1" w:themeShade="7f"/>
      <w:sz w:val="24"/>
      <w:szCs w:val="24"/>
      <w:lang w:eastAsia="pt-BR"/>
    </w:rPr>
  </w:style>
  <w:style w:type="character" w:styleId="TextodenotadefimChar" w:customStyle="1">
    <w:name w:val="Texto de nota de fim Char"/>
    <w:basedOn w:val="DefaultParagraphFont"/>
    <w:link w:val="Textodenotadefim"/>
    <w:uiPriority w:val="99"/>
    <w:semiHidden/>
    <w:qFormat/>
    <w:rsid w:val="005e6d0b"/>
    <w:rPr>
      <w:rFonts w:ascii="Times New Roman" w:hAnsi="Times New Roman" w:eastAsia="Times New Roman" w:cs="Times New Roman"/>
      <w:sz w:val="20"/>
      <w:szCs w:val="20"/>
      <w:lang w:eastAsia="pt-BR"/>
    </w:rPr>
  </w:style>
  <w:style w:type="character" w:styleId="Ncoradanotadefim" w:customStyle="1">
    <w:name w:val="Âncora da nota de fim"/>
    <w:rPr>
      <w:vertAlign w:val="superscript"/>
    </w:rPr>
  </w:style>
  <w:style w:type="character" w:styleId="EndnoteCharacters" w:customStyle="1">
    <w:name w:val="Endnote Characters"/>
    <w:basedOn w:val="DefaultParagraphFont"/>
    <w:uiPriority w:val="99"/>
    <w:semiHidden/>
    <w:unhideWhenUsed/>
    <w:qFormat/>
    <w:rsid w:val="005e6d0b"/>
    <w:rPr>
      <w:vertAlign w:val="superscript"/>
    </w:rPr>
  </w:style>
  <w:style w:type="character" w:styleId="TextodenotaderodapChar" w:customStyle="1">
    <w:name w:val="Texto de nota de rodapé Char"/>
    <w:basedOn w:val="DefaultParagraphFont"/>
    <w:link w:val="Textodenotaderodap"/>
    <w:uiPriority w:val="99"/>
    <w:semiHidden/>
    <w:qFormat/>
    <w:rsid w:val="005e6d0b"/>
    <w:rPr>
      <w:rFonts w:ascii="Times New Roman" w:hAnsi="Times New Roman" w:eastAsia="Times New Roman" w:cs="Times New Roman"/>
      <w:sz w:val="20"/>
      <w:szCs w:val="20"/>
      <w:lang w:eastAsia="pt-BR"/>
    </w:rPr>
  </w:style>
  <w:style w:type="character" w:styleId="Ncoradanotaderodap" w:customStyle="1">
    <w:name w:val="Âncora da nota de rodapé"/>
    <w:rPr>
      <w:vertAlign w:val="superscript"/>
    </w:rPr>
  </w:style>
  <w:style w:type="character" w:styleId="FootnoteCharacters" w:customStyle="1">
    <w:name w:val="Footnote Characters"/>
    <w:basedOn w:val="DefaultParagraphFont"/>
    <w:uiPriority w:val="99"/>
    <w:semiHidden/>
    <w:unhideWhenUsed/>
    <w:qFormat/>
    <w:rsid w:val="005e6d0b"/>
    <w:rPr>
      <w:vertAlign w:val="superscript"/>
    </w:rPr>
  </w:style>
  <w:style w:type="character" w:styleId="CorpodetextoChar" w:customStyle="1">
    <w:name w:val="Corpo de texto Char"/>
    <w:basedOn w:val="DefaultParagraphFont"/>
    <w:link w:val="Corpodetexto"/>
    <w:uiPriority w:val="99"/>
    <w:semiHidden/>
    <w:qFormat/>
    <w:rsid w:val="001b3a3e"/>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rsid w:val="001b3a3e"/>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rsid w:val="00ad6f69"/>
    <w:pPr>
      <w:ind w:left="5580" w:hanging="5580"/>
    </w:pPr>
    <w:rPr/>
  </w:style>
  <w:style w:type="paragraph" w:styleId="BodyText2">
    <w:name w:val="Body Text 2"/>
    <w:basedOn w:val="Normal"/>
    <w:link w:val="Corpodetexto2Char"/>
    <w:qFormat/>
    <w:rsid w:val="00ad6f69"/>
    <w:pPr>
      <w:spacing w:lineRule="auto" w:line="480" w:before="0" w:after="120"/>
    </w:pPr>
    <w:rPr/>
  </w:style>
  <w:style w:type="paragraph" w:styleId="BalloonText">
    <w:name w:val="Balloon Text"/>
    <w:basedOn w:val="Normal"/>
    <w:link w:val="TextodebaloChar"/>
    <w:uiPriority w:val="99"/>
    <w:semiHidden/>
    <w:unhideWhenUsed/>
    <w:qFormat/>
    <w:rsid w:val="00326871"/>
    <w:pPr/>
    <w:rPr>
      <w:rFonts w:ascii="Segoe UI" w:hAnsi="Segoe UI" w:cs="Segoe UI"/>
      <w:sz w:val="18"/>
      <w:szCs w:val="18"/>
    </w:rPr>
  </w:style>
  <w:style w:type="paragraph" w:styleId="ListParagraph">
    <w:name w:val="List Paragraph"/>
    <w:basedOn w:val="Normal"/>
    <w:uiPriority w:val="34"/>
    <w:qFormat/>
    <w:rsid w:val="00142955"/>
    <w:pPr>
      <w:spacing w:before="0" w:after="0"/>
      <w:ind w:left="720" w:hanging="0"/>
      <w:contextualSpacing/>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9a4b07"/>
    <w:pPr>
      <w:tabs>
        <w:tab w:val="clear" w:pos="708"/>
        <w:tab w:val="center" w:pos="4252" w:leader="none"/>
        <w:tab w:val="right" w:pos="8504" w:leader="none"/>
      </w:tabs>
    </w:pPr>
    <w:rPr/>
  </w:style>
  <w:style w:type="paragraph" w:styleId="Rodap">
    <w:name w:val="Footer"/>
    <w:basedOn w:val="Normal"/>
    <w:link w:val="RodapChar"/>
    <w:uiPriority w:val="99"/>
    <w:unhideWhenUsed/>
    <w:rsid w:val="009a4b07"/>
    <w:pPr>
      <w:tabs>
        <w:tab w:val="clear" w:pos="708"/>
        <w:tab w:val="center" w:pos="4252" w:leader="none"/>
        <w:tab w:val="right" w:pos="8504" w:leader="none"/>
      </w:tabs>
    </w:pPr>
    <w:rPr/>
  </w:style>
  <w:style w:type="paragraph" w:styleId="Notadefim">
    <w:name w:val="Endnote Text"/>
    <w:basedOn w:val="Normal"/>
    <w:link w:val="TextodenotadefimChar"/>
    <w:uiPriority w:val="99"/>
    <w:semiHidden/>
    <w:unhideWhenUsed/>
    <w:rsid w:val="005e6d0b"/>
    <w:pPr/>
    <w:rPr>
      <w:sz w:val="20"/>
      <w:szCs w:val="20"/>
    </w:rPr>
  </w:style>
  <w:style w:type="paragraph" w:styleId="Notaderodap">
    <w:name w:val="Footnote Text"/>
    <w:basedOn w:val="Normal"/>
    <w:link w:val="TextodenotaderodapChar"/>
    <w:uiPriority w:val="99"/>
    <w:semiHidden/>
    <w:unhideWhenUsed/>
    <w:rsid w:val="005e6d0b"/>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4E63-C18F-44BC-A3FD-F9F52E17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LibreOffice/7.0.1.2$Windows_X86_64 LibreOffice_project/7cbcfc562f6eb6708b5ff7d7397325de9e764452</Application>
  <Pages>3</Pages>
  <Words>996</Words>
  <Characters>5605</Characters>
  <CharactersWithSpaces>6572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2021-10-29T20:40:00Z</dcterms:created>
  <dc:creator>Usuário</dc:creator>
  <dc:description/>
  <dc:language>pt-BR</dc:language>
  <cp:lastModifiedBy/>
  <cp:lastPrinted>2021-06-15T19:56:00Z</cp:lastPrinted>
  <dcterms:modified xsi:type="dcterms:W3CDTF">2021-11-03T16:48:06Z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