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ab/>
        <w:tab/>
        <w:tab/>
        <w:t xml:space="preserve">  </w:t>
        <w:tab/>
        <w:t xml:space="preserve">         </w:t>
        <w:tab/>
        <w:tab/>
        <w:t xml:space="preserve">        </w:t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117/22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13 de maio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 Câmara Municipal</w:t>
      </w:r>
      <w:r>
        <w:rPr>
          <w:rFonts w:ascii="Arial" w:hAnsi="Arial"/>
        </w:rPr>
        <w:t xml:space="preserve">, a pedido da Comissão de Orçamento, Finanças e Infraestrutura Urbana e Rural,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a seguinte informação quanto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65, de 2021, que autoriza o Poder Executivo a realizar a baixa de créditos não tributários prescritos: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- Relação/lista dos imóveis, sem constar valores, cujos proprietários possuem débitos não tributários prescritos junto à Prefeitura Municipal,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contendo a data dos respectivos débitos.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Nelsi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LibreOffice/7.0.1.2$Windows_X86_64 LibreOffice_project/7cbcfc562f6eb6708b5ff7d7397325de9e764452</Application>
  <Pages>1</Pages>
  <Words>136</Words>
  <Characters>786</Characters>
  <CharactersWithSpaces>963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2022-05-13T11:17:02Z</dcterms:modified>
  <cp:revision>113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