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15,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15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14</w:t>
      </w:r>
      <w:r>
        <w:rPr>
          <w:u w:val="none"/>
        </w:rPr>
        <w:t xml:space="preserve">, de 2022, de 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autoria, </w:t>
      </w:r>
      <w:r>
        <w:rPr>
          <w:u w:val="none"/>
        </w:rPr>
        <w:t>que “autoriza o Poder Executivo proceder na contratação emergencial de oficineiro de música e instrumentos musicais”,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14</w:t>
      </w:r>
      <w:r>
        <w:rPr>
          <w:b/>
          <w:bCs/>
          <w:sz w:val="24"/>
          <w:szCs w:val="24"/>
          <w:u w:val="none"/>
        </w:rPr>
        <w:t>, DE 16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FEVEREIRO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o Poder Executivo proceder na contratação emergencial de oficineiro de música e instrumentos musicais.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o Poder Executivo autorizado a contratar em caráter emergencial, para atender necessidade temporária e por total interesse do serviço público, conforme inciso IX do artigo 37 da Constituição Federal, de um oficineiro de música e instrumentos musicais.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contrato será de natureza administrativa, ficando assegurados ao contratado os direitos previstos no art. 250, 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do Regime Jurídico do Município, Lei Complementar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18/2011, bem como, direitos e obrigações estabelecidos no Plano de Cargos e Funções e Estatuto dos Funcionários Públicos Municipais.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contrato terá vigência de seis meses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carga horária do contrato será de 10 (dez)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remuneração do profissional de que trata esta lei será de R$ 1.000,00 (um mil reais).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contratação autorizada por esta lei ocorrerá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o exercício da função de que trata esta lei, o oficineiro deverá possuir ensino médio completo e conhecimento comprovado na área.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candidato ao preenchimento da vaga prevista nesta Lei será selecionado por Processo Seletivo, regulamentado por edital.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Entidade: 1 -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Órgão: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Unidade: 01 FUNDO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Proj./Ativ. 2.069 Manutenção do serviço de proteção e atendimento integral à família -PAIF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3.3.90.39.00.00.00.00  Outros serviços de terceiros – pessoa RECURSO 1032 SCFV 1032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Application>LibreOffice/7.0.1.2$Windows_X86_64 LibreOffice_project/7cbcfc562f6eb6708b5ff7d7397325de9e764452</Application>
  <Pages>2</Pages>
  <Words>431</Words>
  <Characters>2325</Characters>
  <CharactersWithSpaces>2738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2022-03-15T15:40:30Z</cp:lastPrinted>
  <dcterms:modified xsi:type="dcterms:W3CDTF">2022-03-15T15:44:25Z</dcterms:modified>
  <cp:revision>412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