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31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4 de abril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 2022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 xml:space="preserve">, de 2022, de autoria </w:t>
      </w:r>
      <w:r>
        <w:rPr>
          <w:u w:val="none"/>
        </w:rPr>
        <w:t>do vereador Flavio Habitzreiter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d</w:t>
      </w:r>
      <w:r>
        <w:rPr>
          <w:u w:val="none"/>
        </w:rPr>
        <w:t>ispõe sobre a obrigatoriedade de expedição de receitas médicas e odontológicas digitadas em computador e dá outras providências”,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Dispõe sobre a obrigatoriedade de expedição de receitas médicas e odontológicas digitadas em computador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Torna obrigatória a expedição de receitas médicas e odontológicas digitadas em computador, nos postos médicos, nas unidades de Estratégias de Saúde da Família, hospitais, clínicas, consultórios médicos da rede pública e privada do Município de Três Passos/RS.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A obrigatoriedade da expedição de receitas de acordo com o disposto no </w:t>
      </w:r>
      <w:r>
        <w:rPr>
          <w:rFonts w:eastAsia="Times New Roman" w:cs="Times New Roman"/>
          <w:b w:val="false"/>
          <w:bCs w:val="false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artigo, exclui a utilização de códigos ou abreviaturas.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receita médica ou odontológica conterá, obrigatoriamente, as seguintes informações: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- Nome, endereço e telefone do posto médico, da unidade básica de saúde, hospital, clínica ou consultório médico onde foi expedida a receita.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- Nome e endereço do paciente.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- Nome do medicamento indicado, e, sempre que possível, com a indicação do respectivo medicamento genérico.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- Forma de uso do medicamento (interno ou externo).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 – Concentração (dosagem).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 - Forma de apresentação.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 - Quantidade prescrita (número de caixas).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VIII – Dosagem.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IX – Período (dias de tratamento).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X - Assinatura do médico/odontólogo, com o respectivo carimbo constando o número de inscrição no Conselho Regional de Medicina/Odontologia.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descumprimento das disposições desta Lei, por parte do médico ou odontólogo, implicará nas seguintes penalidades: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- Advertência por escrita, na primeira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- Multa de 10 (dez) URM, na segunda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- Multa de 20 (vinte) a 40 (quarenta) URM, a partir da terceira autuação.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Os recursos oriundos das multas aplicadas no </w:t>
      </w:r>
      <w:r>
        <w:rPr>
          <w:rFonts w:eastAsia="Times New Roman" w:cs="Times New Roman"/>
          <w:b w:val="false"/>
          <w:bCs w:val="false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 serão creditados nos cofres do município e revertidos à Secretaria Municipal de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definirá o órgão competente para proceder à fiscalização e aplicação da presente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Application>LibreOffice/7.0.1.2$Windows_X86_64 LibreOffice_project/7cbcfc562f6eb6708b5ff7d7397325de9e764452</Application>
  <Pages>2</Pages>
  <Words>447</Words>
  <Characters>2414</Characters>
  <CharactersWithSpaces>2836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2022-04-05T17:17:55Z</cp:lastPrinted>
  <dcterms:modified xsi:type="dcterms:W3CDTF">2022-04-05T17:44:46Z</dcterms:modified>
  <cp:revision>458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