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90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8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março de 2022.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ascii="Arial" w:hAnsi="Arial"/>
        </w:rPr>
        <w:t xml:space="preserve">Na forma do art. 48, inciso VIII, do Regimento Interno desta Casa Legislativa, a pedido das Comissões Permanentes,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o envio de mensagem retificativa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32,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utoriza o Poder Executivo proceder na contratação emergencial de até dois enfermeiros, com base na orientação técnica,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em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relação ao seguinte: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1.-)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Quanto ao § 3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do art. 1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é preciso corrigir a sua redação, pois consta a carga horária de 40 horas, mas por extenso consta vinte horas.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2.-)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Quanto ao art. 2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do projeto de lei, é necessário corrigi-lo no sentido de que o enfermeiro deverá possuir ensino superior e não ensino médio completo.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.-) Em relação ao art. 4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do projeto, verifica-se a necessidade de corrigir/acrescer a dotação orçamentária especifica para o programa da saúde prisional.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Por conseguinte, é necessário também alterar o art.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no sentido de fazer constar também o número do edital do processo seletivo simplificado para a seleção do candidato ao preenchimento da vaga na Unidade Saúde Prisional, ou se será realizado novo processo seletivo.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Re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comenda-se,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portanto,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 realização de processo seletivo à parte, posto que o objeto do Processo Seletivo 61/2021 refere-se à contratação para atuar junto à ESF, e não na unidade de saúde prisional.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Solicita-se, se possível, o envio das alterações até a próxima segunda-feira (11/04), para que 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32/2022 possa seguir o seu trâmite, com parecer favorável das Comissões Permanentes e colocação na pauta da sessão, para discussão prévia.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Nelsi Baron,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LibreOffice/7.0.1.2$Windows_X86_64 LibreOffice_project/7cbcfc562f6eb6708b5ff7d7397325de9e764452</Application>
  <Pages>1</Pages>
  <Words>306</Words>
  <Characters>1634</Characters>
  <CharactersWithSpaces>1950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2022-04-08T13:58:06Z</cp:lastPrinted>
  <dcterms:modified xsi:type="dcterms:W3CDTF">2022-04-08T14:00:29Z</dcterms:modified>
  <cp:revision>112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