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6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e</w:t>
      </w:r>
      <w:r>
        <w:rPr>
          <w:u w:val="none"/>
        </w:rPr>
        <w:t>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31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MARÇO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Fica concedido reajuste salarial aos servidores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 no percentual de 6%.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Servirá como data base para o reajuste o dia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desta lei correrão por conta de dotações orçamentárias próprias.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     </w:t>
        <w:tab/>
        <w:t xml:space="preserve">                                 </w:t>
        <w:tab/>
        <w:tab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Application>LibreOffice/7.0.1.2$Windows_X86_64 LibreOffice_project/7cbcfc562f6eb6708b5ff7d7397325de9e764452</Application>
  <Pages>2</Pages>
  <Words>297</Words>
  <Characters>1771</Characters>
  <CharactersWithSpaces>2098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2022-04-12T14:35:05Z</cp:lastPrinted>
  <dcterms:modified xsi:type="dcterms:W3CDTF">2022-04-19T10:21:46Z</dcterms:modified>
  <cp:revision>472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